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B4A" w:rsidRDefault="001B5B4A" w:rsidP="001B5B4A">
      <w:pPr>
        <w:snapToGrid w:val="0"/>
        <w:spacing w:line="44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附件</w:t>
      </w:r>
      <w:r>
        <w:rPr>
          <w:rFonts w:ascii="宋体" w:hAnsi="宋体" w:cs="宋体" w:hint="eastAsia"/>
          <w:bCs/>
          <w:color w:val="000000"/>
          <w:szCs w:val="28"/>
        </w:rPr>
        <w:t>4</w:t>
      </w:r>
      <w:r>
        <w:rPr>
          <w:rFonts w:ascii="宋体" w:hAnsi="宋体" w:cs="宋体" w:hint="eastAsia"/>
          <w:bCs/>
          <w:color w:val="000000"/>
          <w:szCs w:val="28"/>
        </w:rPr>
        <w:t>:</w:t>
      </w:r>
    </w:p>
    <w:p w:rsidR="001B5B4A" w:rsidRDefault="001B5B4A" w:rsidP="001B5B4A">
      <w:pPr>
        <w:snapToGrid w:val="0"/>
        <w:spacing w:line="440" w:lineRule="exact"/>
        <w:jc w:val="center"/>
        <w:rPr>
          <w:rFonts w:ascii="楷体_GB2312" w:eastAsia="楷体_GB2312" w:hAnsi="楷体" w:cs="楷体"/>
          <w:b/>
          <w:color w:val="000000"/>
          <w:sz w:val="32"/>
          <w:szCs w:val="32"/>
        </w:rPr>
      </w:pPr>
      <w:bookmarkStart w:id="0" w:name="_GoBack"/>
      <w:r w:rsidRPr="001B5B4A">
        <w:rPr>
          <w:rFonts w:ascii="楷体_GB2312" w:eastAsia="楷体_GB2312" w:hAnsi="楷体" w:cs="楷体" w:hint="eastAsia"/>
          <w:b/>
          <w:color w:val="000000"/>
          <w:sz w:val="32"/>
          <w:szCs w:val="32"/>
        </w:rPr>
        <w:t>江西农业大学研究生调研大赛初赛报告评分细则</w:t>
      </w:r>
    </w:p>
    <w:bookmarkEnd w:id="0"/>
    <w:p w:rsidR="001B5B4A" w:rsidRPr="001B5B4A" w:rsidRDefault="001B5B4A" w:rsidP="001B5B4A">
      <w:pPr>
        <w:snapToGrid w:val="0"/>
        <w:spacing w:line="440" w:lineRule="exact"/>
        <w:jc w:val="center"/>
        <w:rPr>
          <w:rFonts w:ascii="楷体_GB2312" w:eastAsia="楷体_GB2312" w:hAnsi="楷体" w:cs="楷体" w:hint="eastAsia"/>
          <w:b/>
          <w:color w:val="000000"/>
          <w:sz w:val="32"/>
          <w:szCs w:val="32"/>
        </w:rPr>
      </w:pP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b/>
          <w:bCs/>
          <w:color w:val="000000"/>
          <w:szCs w:val="28"/>
        </w:rPr>
      </w:pPr>
      <w:r>
        <w:rPr>
          <w:rFonts w:ascii="楷体_GB2312" w:eastAsia="楷体_GB2312" w:hAnsi="楷体" w:cs="楷体" w:hint="eastAsia"/>
          <w:b/>
          <w:bCs/>
          <w:color w:val="000000"/>
          <w:szCs w:val="28"/>
        </w:rPr>
        <w:t>一、评分时考虑的主要因素：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1）选题得当，符合社会主义核心价值观；符合活动品牌和活动主题。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2）调查报告或实习的真实性；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3）现象陈述的合理性；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4）问题分析的深刻、详实；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5）问题解决措施的合理到位；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6）报告结构的严密性和逻辑性；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7）语言的表达；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8）字数要求：不少于5000字。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b/>
          <w:bCs/>
          <w:color w:val="000000"/>
          <w:szCs w:val="28"/>
        </w:rPr>
      </w:pPr>
      <w:r>
        <w:rPr>
          <w:rFonts w:ascii="楷体_GB2312" w:eastAsia="楷体_GB2312" w:hAnsi="楷体" w:cs="楷体" w:hint="eastAsia"/>
          <w:b/>
          <w:bCs/>
          <w:color w:val="000000"/>
          <w:szCs w:val="28"/>
        </w:rPr>
        <w:t>二、得分要素</w:t>
      </w:r>
    </w:p>
    <w:p w:rsidR="001B5B4A" w:rsidRDefault="001B5B4A" w:rsidP="001B5B4A">
      <w:pPr>
        <w:numPr>
          <w:ilvl w:val="0"/>
          <w:numId w:val="2"/>
        </w:num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调研目的明确，围绕品牌和主题开展调查。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2）时间、地点、对象和调查内容陈述详细；实地调查的照片或视频要真实。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3）严格限定在规定的范围内进行调查，不任意扩大调查范围；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4）分析有理有据，结论正确；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5）层次、段落清晰，语言通顺，无错别字，符合中文行文格式。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以上要求每项20分，如其他方面有欠缺可酌情扣分。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b/>
          <w:bCs/>
          <w:color w:val="000000"/>
          <w:szCs w:val="28"/>
        </w:rPr>
      </w:pPr>
      <w:r>
        <w:rPr>
          <w:rFonts w:ascii="楷体_GB2312" w:eastAsia="楷体_GB2312" w:hAnsi="楷体" w:cs="楷体" w:hint="eastAsia"/>
          <w:b/>
          <w:bCs/>
          <w:color w:val="000000"/>
          <w:szCs w:val="28"/>
        </w:rPr>
        <w:t>三、扣分环节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1）没有进行实地调查，凭空胡编乱造；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2）内容与本次调研主题不符合、或直接网络下载无关内容拼凑；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3）任意扩大范围，没有对规定的主题、对象进行调研；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4）抄袭（同学间抄袭和网络抄袭）、或大量内容类同；</w:t>
      </w:r>
    </w:p>
    <w:p w:rsidR="001B5B4A" w:rsidRDefault="001B5B4A" w:rsidP="001B5B4A">
      <w:pPr>
        <w:numPr>
          <w:ilvl w:val="0"/>
          <w:numId w:val="3"/>
        </w:num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层析混乱，内容错杂；</w:t>
      </w:r>
    </w:p>
    <w:p w:rsidR="001B5B4A" w:rsidRDefault="001B5B4A" w:rsidP="001B5B4A">
      <w:pPr>
        <w:snapToGrid w:val="0"/>
        <w:spacing w:line="440" w:lineRule="exact"/>
        <w:rPr>
          <w:rFonts w:ascii="楷体_GB2312" w:eastAsia="楷体_GB2312" w:hAnsi="楷体" w:cs="楷体"/>
          <w:b/>
          <w:bCs/>
          <w:color w:val="000000"/>
          <w:szCs w:val="28"/>
        </w:rPr>
      </w:pPr>
      <w:r>
        <w:rPr>
          <w:rFonts w:ascii="楷体_GB2312" w:eastAsia="楷体_GB2312" w:hAnsi="楷体" w:cs="楷体" w:hint="eastAsia"/>
          <w:b/>
          <w:bCs/>
          <w:color w:val="000000"/>
          <w:szCs w:val="28"/>
        </w:rPr>
        <w:t>四、附加分环节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1）上交资料中有调研相关图片、视频，具备一定数量和较高质量；</w:t>
      </w:r>
    </w:p>
    <w:p w:rsidR="001B5B4A" w:rsidRDefault="001B5B4A" w:rsidP="001B5B4A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2）在调研过程中，能恰当运用网络方式（如微博，微信，秒拍等）扩大影响力；</w:t>
      </w:r>
    </w:p>
    <w:p w:rsidR="00893ED3" w:rsidRPr="001B5B4A" w:rsidRDefault="001B5B4A" w:rsidP="001B5B4A">
      <w:pPr>
        <w:snapToGrid w:val="0"/>
        <w:spacing w:line="440" w:lineRule="exact"/>
        <w:jc w:val="left"/>
      </w:pPr>
      <w:r>
        <w:rPr>
          <w:rFonts w:ascii="楷体_GB2312" w:eastAsia="楷体_GB2312" w:hAnsi="楷体" w:cs="楷体" w:hint="eastAsia"/>
          <w:color w:val="000000"/>
          <w:szCs w:val="28"/>
        </w:rPr>
        <w:t>以上内容每项10分，可酌情加分</w:t>
      </w:r>
      <w:r>
        <w:rPr>
          <w:rFonts w:ascii="楷体" w:eastAsia="楷体" w:hAnsi="楷体" w:cs="楷体" w:hint="eastAsia"/>
          <w:color w:val="000000"/>
          <w:szCs w:val="28"/>
        </w:rPr>
        <w:t>。</w:t>
      </w:r>
    </w:p>
    <w:sectPr w:rsidR="00893ED3" w:rsidRPr="001B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664BB"/>
    <w:multiLevelType w:val="singleLevel"/>
    <w:tmpl w:val="54F664BB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4F6651C"/>
    <w:multiLevelType w:val="singleLevel"/>
    <w:tmpl w:val="54F6651C"/>
    <w:lvl w:ilvl="0">
      <w:start w:val="5"/>
      <w:numFmt w:val="decimal"/>
      <w:suff w:val="nothing"/>
      <w:lvlText w:val="%1）"/>
      <w:lvlJc w:val="left"/>
    </w:lvl>
  </w:abstractNum>
  <w:abstractNum w:abstractNumId="2" w15:restartNumberingAfterBreak="0">
    <w:nsid w:val="5640904A"/>
    <w:multiLevelType w:val="singleLevel"/>
    <w:tmpl w:val="5640904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A4"/>
    <w:rsid w:val="00026639"/>
    <w:rsid w:val="00083756"/>
    <w:rsid w:val="000A216B"/>
    <w:rsid w:val="001B5B4A"/>
    <w:rsid w:val="00316FB2"/>
    <w:rsid w:val="00336EA4"/>
    <w:rsid w:val="003A52E2"/>
    <w:rsid w:val="004B1B54"/>
    <w:rsid w:val="00893ED3"/>
    <w:rsid w:val="0094626D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5101"/>
  <w15:chartTrackingRefBased/>
  <w15:docId w15:val="{50474BAE-7F1D-4A4D-A2C7-E4022D28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A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2017-12-01T08:29:00Z</dcterms:created>
  <dcterms:modified xsi:type="dcterms:W3CDTF">2017-12-01T08:29:00Z</dcterms:modified>
</cp:coreProperties>
</file>