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年江西省青年马克思主义者</w:t>
      </w:r>
    </w:p>
    <w:p>
      <w:pPr>
        <w:widowControl/>
        <w:spacing w:line="700" w:lineRule="exact"/>
        <w:jc w:val="cente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理论研究创新工程选题指南</w:t>
      </w:r>
    </w:p>
    <w:p>
      <w:pPr>
        <w:widowControl/>
        <w:spacing w:line="700" w:lineRule="exact"/>
        <w:jc w:val="center"/>
        <w:rPr>
          <w:rFonts w:hint="eastAsia" w:ascii="华文宋体" w:hAnsi="华文宋体" w:eastAsia="华文宋体" w:cs="华文宋体"/>
          <w:b/>
          <w:bCs/>
          <w:color w:val="000000" w:themeColor="text1"/>
          <w:kern w:val="0"/>
          <w:sz w:val="44"/>
          <w:szCs w:val="44"/>
          <w14:textFill>
            <w14:solidFill>
              <w14:schemeClr w14:val="tx1"/>
            </w14:solidFill>
          </w14:textFill>
        </w:rPr>
      </w:pPr>
    </w:p>
    <w:tbl>
      <w:tblPr>
        <w:tblStyle w:val="4"/>
        <w:tblW w:w="9686" w:type="dxa"/>
        <w:tblInd w:w="0" w:type="dxa"/>
        <w:tblLayout w:type="fixed"/>
        <w:tblCellMar>
          <w:top w:w="0" w:type="dxa"/>
          <w:left w:w="108" w:type="dxa"/>
          <w:bottom w:w="0" w:type="dxa"/>
          <w:right w:w="108" w:type="dxa"/>
        </w:tblCellMar>
      </w:tblPr>
      <w:tblGrid>
        <w:gridCol w:w="886"/>
        <w:gridCol w:w="8800"/>
      </w:tblGrid>
      <w:tr>
        <w:tblPrEx>
          <w:tblCellMar>
            <w:top w:w="0" w:type="dxa"/>
            <w:left w:w="108" w:type="dxa"/>
            <w:bottom w:w="0" w:type="dxa"/>
            <w:right w:w="108" w:type="dxa"/>
          </w:tblCellMar>
        </w:tblPrEx>
        <w:trPr>
          <w:trHeight w:val="1218"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一、马克思主义</w:t>
            </w:r>
            <w:r>
              <w:rPr>
                <w:rFonts w:ascii="Times New Roman" w:hAnsi="Times New Roman" w:eastAsia="黑体" w:cs="Times New Roman"/>
                <w:b/>
                <w:bCs/>
                <w:color w:val="000000"/>
                <w:kern w:val="0"/>
                <w:sz w:val="32"/>
                <w:szCs w:val="32"/>
              </w:rPr>
              <w:t>•</w:t>
            </w:r>
            <w:r>
              <w:rPr>
                <w:rFonts w:hint="eastAsia" w:ascii="黑体" w:hAnsi="黑体" w:eastAsia="黑体" w:cs="宋体"/>
                <w:b/>
                <w:bCs/>
                <w:color w:val="000000"/>
                <w:kern w:val="0"/>
                <w:sz w:val="32"/>
                <w:szCs w:val="32"/>
              </w:rPr>
              <w:t>科学社会主义</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default" w:ascii="仿宋_GB2312" w:hAnsi="宋体" w:eastAsia="仿宋_GB2312" w:cs="宋体"/>
                <w:color w:val="000000"/>
                <w:kern w:val="0"/>
                <w:sz w:val="32"/>
                <w:szCs w:val="32"/>
                <w:lang w:val="en-US" w:eastAsia="zh-CN"/>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习近平总书记关于爱国主义教育的重要论述研究</w:t>
            </w:r>
          </w:p>
        </w:tc>
      </w:tr>
      <w:tr>
        <w:tblPrEx>
          <w:tblCellMar>
            <w:top w:w="0" w:type="dxa"/>
            <w:left w:w="108" w:type="dxa"/>
            <w:bottom w:w="0" w:type="dxa"/>
            <w:right w:w="108" w:type="dxa"/>
          </w:tblCellMar>
        </w:tblPrEx>
        <w:trPr>
          <w:trHeight w:val="639"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习近平总书记关于科技创新的重要论述研究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建党100年来马克思主义的发展历程与经验研究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以核心价值体系为引领推进江西文化强省建设研究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我国脱贫攻坚的伟大成就及其历史意义研究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伟大抗疫精神融入思想政治理论课研究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中华优秀传统文化创造性转化和创新性发展研究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世界百年未有之大变局加速演变的内涵、走向与应对研究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建设新时代全国革命老区高质量发展示范区研究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信息时代高校意识形态安全研究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江西省百年党史红色故事挖掘、考究与宣传研究</w:t>
            </w:r>
          </w:p>
        </w:tc>
      </w:tr>
      <w:tr>
        <w:tblPrEx>
          <w:tblCellMar>
            <w:top w:w="0" w:type="dxa"/>
            <w:left w:w="108" w:type="dxa"/>
            <w:bottom w:w="0" w:type="dxa"/>
            <w:right w:w="108" w:type="dxa"/>
          </w:tblCellMar>
        </w:tblPrEx>
        <w:trPr>
          <w:trHeight w:val="90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二、党史</w:t>
            </w:r>
            <w:r>
              <w:rPr>
                <w:rFonts w:ascii="Times New Roman" w:hAnsi="Times New Roman" w:eastAsia="黑体" w:cs="Times New Roman"/>
                <w:b/>
                <w:bCs/>
                <w:color w:val="000000"/>
                <w:kern w:val="0"/>
                <w:sz w:val="32"/>
                <w:szCs w:val="32"/>
              </w:rPr>
              <w:t>•</w:t>
            </w:r>
            <w:r>
              <w:rPr>
                <w:rFonts w:hint="eastAsia" w:ascii="黑体" w:hAnsi="黑体" w:eastAsia="黑体" w:cs="宋体"/>
                <w:b/>
                <w:bCs/>
                <w:color w:val="000000"/>
                <w:kern w:val="0"/>
                <w:sz w:val="32"/>
                <w:szCs w:val="32"/>
              </w:rPr>
              <w:t>党建</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习近平总书记关于中共党史、新中国史、改革开放史、社会主</w:t>
            </w:r>
          </w:p>
          <w:p>
            <w:pPr>
              <w:spacing w:line="360" w:lineRule="auto"/>
              <w:ind w:left="502" w:hanging="502" w:hangingChars="157"/>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义发展史的重要论述研究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659" w:hanging="659" w:hangingChars="206"/>
              <w:jc w:val="left"/>
              <w:rPr>
                <w:rFonts w:hint="eastAsia" w:ascii="仿宋_GB2312" w:eastAsia="仿宋_GB2312"/>
                <w:sz w:val="32"/>
                <w:szCs w:val="32"/>
              </w:rPr>
            </w:pPr>
            <w:r>
              <w:rPr>
                <w:rFonts w:hint="eastAsia" w:ascii="仿宋_GB2312" w:eastAsia="仿宋_GB2312"/>
                <w:sz w:val="32"/>
                <w:szCs w:val="32"/>
              </w:rPr>
              <w:t>中国共产党百年建设史研究（分政治、思想、组织、作风、纪</w:t>
            </w:r>
          </w:p>
          <w:p>
            <w:pPr>
              <w:spacing w:line="360" w:lineRule="auto"/>
              <w:ind w:left="659" w:hanging="659" w:hangingChars="206"/>
              <w:jc w:val="left"/>
              <w:rPr>
                <w:rFonts w:ascii="仿宋_GB2312" w:hAnsi="宋体" w:eastAsia="仿宋_GB2312" w:cs="宋体"/>
                <w:color w:val="000000"/>
                <w:kern w:val="0"/>
                <w:sz w:val="32"/>
                <w:szCs w:val="32"/>
              </w:rPr>
            </w:pPr>
            <w:r>
              <w:rPr>
                <w:rFonts w:hint="eastAsia" w:ascii="仿宋_GB2312" w:eastAsia="仿宋_GB2312"/>
                <w:sz w:val="32"/>
                <w:szCs w:val="32"/>
              </w:rPr>
              <w:t>律、制度、基层组织等专题）</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659" w:hanging="659" w:hangingChars="206"/>
              <w:jc w:val="left"/>
              <w:rPr>
                <w:rFonts w:hint="eastAsia" w:ascii="仿宋_GB2312" w:eastAsia="仿宋_GB2312"/>
                <w:sz w:val="32"/>
                <w:szCs w:val="32"/>
              </w:rPr>
            </w:pPr>
            <w:r>
              <w:rPr>
                <w:rFonts w:hint="eastAsia" w:ascii="仿宋_GB2312" w:hAnsi="宋体" w:eastAsia="仿宋_GB2312" w:cs="仿宋_GB2312"/>
                <w:i w:val="0"/>
                <w:iCs w:val="0"/>
                <w:color w:val="000000"/>
                <w:kern w:val="0"/>
                <w:sz w:val="32"/>
                <w:szCs w:val="32"/>
                <w:u w:val="none"/>
                <w:lang w:val="en-US" w:eastAsia="zh-CN" w:bidi="ar"/>
              </w:rPr>
              <w:t>建党100年来中国共产党的意识形态工作基本经验研究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中国共产党百年历程与全面建成小康社会研究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从入党誓词看中国共产党的初心使命</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中国共产党领导实现全面建成小康社会的历程与经验研究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对我省各个历史时期革命遗址、革命文物和教育基地保护和利</w:t>
            </w:r>
          </w:p>
          <w:p>
            <w:pPr>
              <w:spacing w:line="360" w:lineRule="auto"/>
              <w:ind w:left="502" w:hanging="502" w:hangingChars="157"/>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用研究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eastAsia="仿宋_GB2312"/>
                <w:sz w:val="32"/>
                <w:szCs w:val="32"/>
              </w:rPr>
              <w:t>新时代农村基层党建高质量发展研究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中央苏区管党治党历史经验教训研究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对江西红色文化资源、抗日战争重要遗址遗迹等的保护和利用研究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大力传承红色基因，赓续共产党人血脉研究</w:t>
            </w:r>
          </w:p>
        </w:tc>
      </w:tr>
      <w:tr>
        <w:tblPrEx>
          <w:tblCellMar>
            <w:top w:w="0" w:type="dxa"/>
            <w:left w:w="108" w:type="dxa"/>
            <w:bottom w:w="0" w:type="dxa"/>
            <w:right w:w="108" w:type="dxa"/>
          </w:tblCellMar>
        </w:tblPrEx>
        <w:trPr>
          <w:trHeight w:val="101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三、哲学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习近平新时代中国特色社会主义思想的价值观研究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习近平关于全面建设小康社会重要论述的哲学研究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马克思主义哲学学科体系研究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社会主义核心价值观与新时代公民道德建设研究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中外哲学交流与比较研究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auto"/>
                <w:kern w:val="0"/>
                <w:sz w:val="32"/>
                <w:szCs w:val="32"/>
                <w:u w:val="none"/>
                <w:lang w:val="en-US" w:eastAsia="zh-CN" w:bidi="ar"/>
              </w:rPr>
              <w:t>中国传统哲学的创造性转化和创新性发展研究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auto"/>
                <w:kern w:val="0"/>
                <w:sz w:val="32"/>
                <w:szCs w:val="32"/>
                <w:u w:val="none"/>
                <w:lang w:val="en-US" w:eastAsia="zh-CN" w:bidi="ar"/>
              </w:rPr>
              <w:t>江西理学文化遗产保护研究</w:t>
            </w:r>
          </w:p>
        </w:tc>
      </w:tr>
      <w:tr>
        <w:tblPrEx>
          <w:tblCellMar>
            <w:top w:w="0" w:type="dxa"/>
            <w:left w:w="108" w:type="dxa"/>
            <w:bottom w:w="0" w:type="dxa"/>
            <w:right w:w="108" w:type="dxa"/>
          </w:tblCellMar>
        </w:tblPrEx>
        <w:trPr>
          <w:trHeight w:val="90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四、经济学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习近平新时代中国特色社会主义经济思想体系研究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中国共产党百年经济实践与经济发展规律研究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中国共产党百年政治经济学创新研究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“十四五”时期区域经济协调发展政策研究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江西全面推进乡村振兴实施的路径研究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创新推进我省健康与养老产业深度融合研究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新时代江西绿水青山变金山银山的重点任务和实现路径研究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以大数据和智能决策驱动我省公共卫生重大风险防控治理体系现代化研究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推进江西农业强省建设战略思路与对策研究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lang w:eastAsia="zh-CN"/>
              </w:rPr>
              <w:t>江西</w:t>
            </w:r>
            <w:r>
              <w:rPr>
                <w:rFonts w:hint="eastAsia" w:ascii="仿宋_GB2312" w:eastAsia="仿宋_GB2312"/>
                <w:sz w:val="32"/>
                <w:szCs w:val="32"/>
              </w:rPr>
              <w:t>旅游业高质量发展和创新的动能与路径研究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做优做强做大江西中医药产业加快中医药强省建设研究</w:t>
            </w:r>
          </w:p>
        </w:tc>
      </w:tr>
      <w:tr>
        <w:tblPrEx>
          <w:tblCellMar>
            <w:top w:w="0" w:type="dxa"/>
            <w:left w:w="108" w:type="dxa"/>
            <w:bottom w:w="0" w:type="dxa"/>
            <w:right w:w="108" w:type="dxa"/>
          </w:tblCellMar>
        </w:tblPrEx>
        <w:trPr>
          <w:trHeight w:val="92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五、政治学</w:t>
            </w:r>
          </w:p>
        </w:tc>
      </w:tr>
      <w:tr>
        <w:tblPrEx>
          <w:tblCellMar>
            <w:top w:w="0" w:type="dxa"/>
            <w:left w:w="108" w:type="dxa"/>
            <w:bottom w:w="0" w:type="dxa"/>
            <w:right w:w="108" w:type="dxa"/>
          </w:tblCellMar>
        </w:tblPrEx>
        <w:trPr>
          <w:trHeight w:val="936"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eastAsia="仿宋_GB2312"/>
                <w:sz w:val="32"/>
                <w:szCs w:val="32"/>
              </w:rPr>
              <w:t>习近平总书记关于中国特色社会主义政治制度显著优势的重要论述研究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百年来中国共产党探索中国特色社会主义政治发展道路的历程与经验研究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hint="eastAsia" w:ascii="仿宋_GB2312" w:eastAsia="仿宋_GB2312"/>
                <w:sz w:val="32"/>
                <w:szCs w:val="32"/>
              </w:rPr>
            </w:pPr>
            <w:r>
              <w:rPr>
                <w:rFonts w:hint="eastAsia" w:ascii="仿宋_GB2312" w:eastAsia="仿宋_GB2312"/>
                <w:sz w:val="32"/>
                <w:szCs w:val="32"/>
              </w:rPr>
              <w:t>百年来中国共产党领导制度的发展演变研究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马克思主义政治价值观研究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坚持党的全面领导与增强国家治理效能关系的研究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增强突发公共事件应急治理能力研究</w:t>
            </w:r>
          </w:p>
        </w:tc>
      </w:tr>
      <w:tr>
        <w:tblPrEx>
          <w:tblCellMar>
            <w:top w:w="0" w:type="dxa"/>
            <w:left w:w="108" w:type="dxa"/>
            <w:bottom w:w="0" w:type="dxa"/>
            <w:right w:w="108" w:type="dxa"/>
          </w:tblCellMar>
        </w:tblPrEx>
        <w:trPr>
          <w:trHeight w:val="99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六、法学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中国共产党人权理念与实践的百年发展研究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在法治轨道上推进国家治理体系和治理能力现代化研究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长江经济带的环境法治问题研究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优化营商环境法治保障研究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重大突发事件与消费者权益保护法律问题研究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江西智慧城市建设的法治保障研究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《民法典》与《刑法》的衔接研究</w:t>
            </w:r>
          </w:p>
        </w:tc>
      </w:tr>
      <w:tr>
        <w:tblPrEx>
          <w:tblCellMar>
            <w:top w:w="0" w:type="dxa"/>
            <w:left w:w="108" w:type="dxa"/>
            <w:bottom w:w="0" w:type="dxa"/>
            <w:right w:w="108" w:type="dxa"/>
          </w:tblCellMar>
        </w:tblPrEx>
        <w:trPr>
          <w:trHeight w:val="99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七、社会学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“十四五”时期健全社会保障体系全面推进健康江西建设研究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提升江西省基层治理体系和治理能力现代化的路径研究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我省应对突发公共卫生事件中的社会动员机制研究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乡村振兴与新型城镇化融合发展研究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新时代文明实践志愿服务工作方法研究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精准扶贫后农村相对贫困治理研究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社会工作组织在基层社会治理共同体建设中的效用研究</w:t>
            </w:r>
          </w:p>
        </w:tc>
      </w:tr>
      <w:tr>
        <w:tblPrEx>
          <w:tblCellMar>
            <w:top w:w="0" w:type="dxa"/>
            <w:left w:w="108" w:type="dxa"/>
            <w:bottom w:w="0" w:type="dxa"/>
            <w:right w:w="108" w:type="dxa"/>
          </w:tblCellMar>
        </w:tblPrEx>
        <w:trPr>
          <w:trHeight w:val="939" w:hRule="atLeast"/>
        </w:trPr>
        <w:tc>
          <w:tcPr>
            <w:tcW w:w="9686"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八、历史学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中国共产党建党百年与中华民族复兴进程研究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中国历代国家治理史研究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江西古村落历史文化挖掘与提炼研究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中国古代疫情防控治理史研究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中央苏区史专题研究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江西重要考古遗址、墓葬及出土文字资料的整理与研究</w:t>
            </w:r>
          </w:p>
        </w:tc>
      </w:tr>
      <w:tr>
        <w:tblPrEx>
          <w:tblCellMar>
            <w:top w:w="0" w:type="dxa"/>
            <w:left w:w="108" w:type="dxa"/>
            <w:bottom w:w="0" w:type="dxa"/>
            <w:right w:w="108" w:type="dxa"/>
          </w:tblCellMar>
        </w:tblPrEx>
        <w:trPr>
          <w:trHeight w:val="92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auto"/>
                <w:kern w:val="0"/>
                <w:sz w:val="32"/>
                <w:szCs w:val="32"/>
              </w:rPr>
              <w:t>九、文学（含外国文学）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党的十八大以来文学创作贯彻落实“讲好中国故事”的研究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eastAsia="仿宋_GB2312"/>
                <w:sz w:val="32"/>
                <w:szCs w:val="32"/>
              </w:rPr>
              <w:t>中国文艺学学科体系、学术体系和话语体系的构建研究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红色文化与经典作品研究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江西“四色”文化传承创新发展研究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物质文化环境中的戏曲、小说研究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江西非遗文化价值及保护研究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中国文学经典外译研究</w:t>
            </w:r>
          </w:p>
        </w:tc>
      </w:tr>
      <w:tr>
        <w:tblPrEx>
          <w:tblCellMar>
            <w:top w:w="0" w:type="dxa"/>
            <w:left w:w="108" w:type="dxa"/>
            <w:bottom w:w="0" w:type="dxa"/>
            <w:right w:w="108" w:type="dxa"/>
          </w:tblCellMar>
        </w:tblPrEx>
        <w:trPr>
          <w:trHeight w:val="83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十、语言学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中国语言学理论专题研究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中国优秀文化海外翻译传播与影响研究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汉语语音史、词汇史、语法史专题研究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中国传统语文学（文字、音韵、训诂）的继承与创新研究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智能机器人的语言行为及语言伦理研究</w:t>
            </w:r>
          </w:p>
        </w:tc>
      </w:tr>
      <w:tr>
        <w:tblPrEx>
          <w:tblCellMar>
            <w:top w:w="0" w:type="dxa"/>
            <w:left w:w="108" w:type="dxa"/>
            <w:bottom w:w="0" w:type="dxa"/>
            <w:right w:w="108" w:type="dxa"/>
          </w:tblCellMar>
        </w:tblPrEx>
        <w:trPr>
          <w:trHeight w:val="828"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十一、新闻学与传播学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eastAsia="仿宋_GB2312"/>
                <w:sz w:val="32"/>
                <w:szCs w:val="32"/>
              </w:rPr>
              <w:t>习近平总书记关于互联网发展与治理的重要论述研究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建党100周年以来中国共产党新闻理论的发展研究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32"/>
                <w:szCs w:val="32"/>
              </w:rPr>
            </w:pPr>
            <w:r>
              <w:rPr>
                <w:rFonts w:hint="eastAsia" w:ascii="仿宋_GB2312" w:eastAsia="仿宋_GB2312"/>
                <w:sz w:val="32"/>
                <w:szCs w:val="32"/>
              </w:rPr>
              <w:t>建构主流意识形态认同的机制研究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中国陶瓷文化域外传播路径研究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红色文化网络传播研究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noWrap/>
            <w:vAlign w:val="center"/>
          </w:tcPr>
          <w:p>
            <w:pPr>
              <w:spacing w:line="360" w:lineRule="auto"/>
              <w:ind w:left="502" w:hanging="502" w:hangingChars="157"/>
              <w:rPr>
                <w:rFonts w:ascii="仿宋_GB2312" w:hAnsi="宋体" w:eastAsia="仿宋_GB2312" w:cs="宋体"/>
                <w:color w:val="000000"/>
                <w:kern w:val="0"/>
                <w:sz w:val="32"/>
                <w:szCs w:val="32"/>
              </w:rPr>
            </w:pPr>
            <w:r>
              <w:rPr>
                <w:rFonts w:hint="eastAsia" w:ascii="仿宋_GB2312" w:eastAsia="仿宋_GB2312"/>
                <w:sz w:val="32"/>
                <w:szCs w:val="32"/>
              </w:rPr>
              <w:t>社交媒体时代重大疫情网络舆情的特征、影响及引导策略</w:t>
            </w:r>
          </w:p>
        </w:tc>
      </w:tr>
      <w:tr>
        <w:tblPrEx>
          <w:tblCellMar>
            <w:top w:w="0" w:type="dxa"/>
            <w:left w:w="108" w:type="dxa"/>
            <w:bottom w:w="0" w:type="dxa"/>
            <w:right w:w="108" w:type="dxa"/>
          </w:tblCellMar>
        </w:tblPrEx>
        <w:trPr>
          <w:trHeight w:val="909" w:hRule="atLeast"/>
        </w:trPr>
        <w:tc>
          <w:tcPr>
            <w:tcW w:w="9686"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十二、图书馆</w:t>
            </w:r>
            <w:r>
              <w:rPr>
                <w:rFonts w:hint="eastAsia" w:ascii="宋体" w:hAnsi="宋体" w:cs="宋体"/>
                <w:b/>
                <w:bCs/>
                <w:color w:val="000000"/>
                <w:kern w:val="0"/>
                <w:sz w:val="32"/>
                <w:szCs w:val="32"/>
              </w:rPr>
              <w:t>•</w:t>
            </w:r>
            <w:r>
              <w:rPr>
                <w:rFonts w:hint="eastAsia" w:ascii="黑体" w:hAnsi="黑体" w:eastAsia="黑体" w:cs="黑体"/>
                <w:b/>
                <w:bCs/>
                <w:color w:val="000000"/>
                <w:kern w:val="0"/>
                <w:sz w:val="32"/>
                <w:szCs w:val="32"/>
              </w:rPr>
              <w:t>情报与文献学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数字资源知识共享与知识再利用模式与方法研究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我省公共图书馆服务理论研究与实践发展路径分析</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“双一流”建设背景下我省高校图书馆智库型学科服务研究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中央苏区红色文献收集、整理与保护研究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建党百年特色馆藏档案专题研究</w:t>
            </w:r>
          </w:p>
        </w:tc>
      </w:tr>
      <w:tr>
        <w:tblPrEx>
          <w:tblCellMar>
            <w:top w:w="0" w:type="dxa"/>
            <w:left w:w="108" w:type="dxa"/>
            <w:bottom w:w="0" w:type="dxa"/>
            <w:right w:w="108" w:type="dxa"/>
          </w:tblCellMar>
        </w:tblPrEx>
        <w:trPr>
          <w:trHeight w:val="849"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十三、艺术学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习近平新时代中国特色社会主义文化艺术重要论述</w:t>
            </w:r>
            <w:r>
              <w:rPr>
                <w:rFonts w:hint="eastAsia" w:ascii="仿宋_GB2312" w:hAnsi="宋体" w:eastAsia="仿宋_GB2312" w:cs="宋体"/>
                <w:color w:val="000000"/>
                <w:kern w:val="0"/>
                <w:sz w:val="32"/>
                <w:szCs w:val="32"/>
                <w:lang w:eastAsia="zh-CN"/>
              </w:rPr>
              <w:t>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新媒介与文艺创作及批评研究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中国类型电影、类型电视剧研究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乡村振兴战略视域下江西戏曲非遗传承研究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景德镇陶瓷文化及工艺研究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江西省传统村落乡村旅游建设与管理研究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百年中国戏剧文化史研究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江西百年红色题材绘画研究</w:t>
            </w:r>
          </w:p>
        </w:tc>
      </w:tr>
      <w:tr>
        <w:tblPrEx>
          <w:tblCellMar>
            <w:top w:w="0" w:type="dxa"/>
            <w:left w:w="108" w:type="dxa"/>
            <w:bottom w:w="0" w:type="dxa"/>
            <w:right w:w="108" w:type="dxa"/>
          </w:tblCellMar>
        </w:tblPrEx>
        <w:trPr>
          <w:trHeight w:val="864" w:hRule="atLeast"/>
        </w:trPr>
        <w:tc>
          <w:tcPr>
            <w:tcW w:w="9686" w:type="dxa"/>
            <w:gridSpan w:val="2"/>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十四、教育学（含体育学）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widowControl/>
              <w:suppressLineNumbers w:val="0"/>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中国共产党百年教育方针研究</w:t>
            </w:r>
            <w:r>
              <w:rPr>
                <w:rFonts w:ascii="仿宋_GB2312" w:hAnsi="宋体" w:eastAsia="仿宋_GB2312" w:cs="仿宋_GB2312"/>
                <w:color w:val="000000"/>
                <w:kern w:val="0"/>
                <w:sz w:val="32"/>
                <w:szCs w:val="32"/>
                <w:lang w:val="en-US" w:eastAsia="zh-CN" w:bidi="ar"/>
              </w:rPr>
              <w:t xml:space="preserve"> </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新时代体育强国建设研究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建党100年江西体育事业发展经验与启示研究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融媒体时代高等学校大思政工作格局构建战略研究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线上与线下教育融合难点与突破路径研究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乡村振兴和教育现代化背景下农村教育发展战略研究</w:t>
            </w:r>
          </w:p>
        </w:tc>
      </w:tr>
      <w:tr>
        <w:tblPrEx>
          <w:tblCellMar>
            <w:top w:w="0" w:type="dxa"/>
            <w:left w:w="108" w:type="dxa"/>
            <w:bottom w:w="0" w:type="dxa"/>
            <w:right w:w="108" w:type="dxa"/>
          </w:tblCellMar>
        </w:tblPrEx>
        <w:trPr>
          <w:trHeight w:val="654"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立德树人与道德教育研究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推动江西高质量职业教育体系研究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加快推进江西“双一流”建设的主要路径及政策扶持研究</w:t>
            </w:r>
          </w:p>
        </w:tc>
      </w:tr>
      <w:tr>
        <w:tblPrEx>
          <w:tblCellMar>
            <w:top w:w="0" w:type="dxa"/>
            <w:left w:w="108" w:type="dxa"/>
            <w:bottom w:w="0" w:type="dxa"/>
            <w:right w:w="108" w:type="dxa"/>
          </w:tblCellMar>
        </w:tblPrEx>
        <w:trPr>
          <w:trHeight w:val="969" w:hRule="atLeast"/>
        </w:trPr>
        <w:tc>
          <w:tcPr>
            <w:tcW w:w="9686"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十五、管理学</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宋体" w:eastAsia="仿宋_GB2312" w:cs="宋体"/>
                <w:color w:val="000000"/>
                <w:kern w:val="0"/>
                <w:sz w:val="32"/>
                <w:szCs w:val="32"/>
              </w:rPr>
            </w:pPr>
            <w:r>
              <w:rPr>
                <w:rFonts w:hint="eastAsia" w:ascii="仿宋_GB2312" w:eastAsia="仿宋_GB2312"/>
                <w:sz w:val="32"/>
                <w:szCs w:val="32"/>
              </w:rPr>
              <w:t>脱贫攻坚与乡村振兴有效衔接模式及实现路径研究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eastAsia="仿宋_GB2312"/>
                <w:sz w:val="32"/>
                <w:szCs w:val="32"/>
              </w:rPr>
              <w:t>百年未有之大变局下的企业发展环境变革研究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数字经济背景下我省公共服务体系构建与优化研究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做实做优做强做大我省航空、电子信息、装备制造、中医药、新能源、新材料等优势产业对策研究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“十四五”时期推进我省民营企业高质量发展策略研究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构建具有江西特色的生态环境治理体系研究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江西文化产业高质量发展推进文化强省研究</w:t>
            </w:r>
          </w:p>
        </w:tc>
      </w:tr>
      <w:tr>
        <w:tblPrEx>
          <w:tblCellMar>
            <w:top w:w="0" w:type="dxa"/>
            <w:left w:w="108" w:type="dxa"/>
            <w:bottom w:w="0" w:type="dxa"/>
            <w:right w:w="108" w:type="dxa"/>
          </w:tblCellMar>
        </w:tblPrEx>
        <w:trPr>
          <w:trHeight w:val="600" w:hRule="atLeast"/>
        </w:trPr>
        <w:tc>
          <w:tcPr>
            <w:tcW w:w="886" w:type="dxa"/>
            <w:tcBorders>
              <w:top w:val="nil"/>
              <w:left w:val="nil"/>
              <w:bottom w:val="nil"/>
              <w:right w:val="nil"/>
            </w:tcBorders>
            <w:shd w:val="clear" w:color="auto" w:fill="auto"/>
            <w:noWrap/>
            <w:vAlign w:val="center"/>
          </w:tcPr>
          <w:p>
            <w:pPr>
              <w:widowControl/>
              <w:numPr>
                <w:ilvl w:val="0"/>
                <w:numId w:val="1"/>
              </w:numPr>
              <w:ind w:left="425" w:leftChars="0" w:hanging="425" w:firstLineChars="0"/>
              <w:jc w:val="center"/>
              <w:rPr>
                <w:rFonts w:hint="eastAsia" w:ascii="仿宋_GB2312" w:hAnsi="宋体" w:eastAsia="仿宋_GB2312" w:cs="宋体"/>
                <w:color w:val="000000"/>
                <w:kern w:val="0"/>
                <w:sz w:val="32"/>
                <w:szCs w:val="32"/>
              </w:rPr>
            </w:pPr>
          </w:p>
        </w:tc>
        <w:tc>
          <w:tcPr>
            <w:tcW w:w="8800" w:type="dxa"/>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双循环新格局下人工智能驱动江西制造业高质量发展研究</w:t>
            </w:r>
          </w:p>
        </w:tc>
      </w:tr>
    </w:tbl>
    <w:p/>
    <w:p>
      <w:bookmarkStart w:id="0" w:name="_GoBack"/>
      <w:bookmarkEnd w:id="0"/>
    </w:p>
    <w:sectPr>
      <w:headerReference r:id="rId3" w:type="default"/>
      <w:footerReference r:id="rId4"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7AD29"/>
    <w:multiLevelType w:val="singleLevel"/>
    <w:tmpl w:val="8337AD2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4657"/>
    <w:rsid w:val="004E03A3"/>
    <w:rsid w:val="058F6FF1"/>
    <w:rsid w:val="06F742FB"/>
    <w:rsid w:val="086322B4"/>
    <w:rsid w:val="08C37466"/>
    <w:rsid w:val="0CAD4657"/>
    <w:rsid w:val="1453044A"/>
    <w:rsid w:val="14C04661"/>
    <w:rsid w:val="170D24AD"/>
    <w:rsid w:val="18F579D3"/>
    <w:rsid w:val="1975026C"/>
    <w:rsid w:val="1AEA32EF"/>
    <w:rsid w:val="1C5D15F4"/>
    <w:rsid w:val="1CBE35B6"/>
    <w:rsid w:val="1D3B11B2"/>
    <w:rsid w:val="1D5B3440"/>
    <w:rsid w:val="1E076245"/>
    <w:rsid w:val="1F433E95"/>
    <w:rsid w:val="22E0188C"/>
    <w:rsid w:val="23304C33"/>
    <w:rsid w:val="25661B77"/>
    <w:rsid w:val="25796628"/>
    <w:rsid w:val="25A4106F"/>
    <w:rsid w:val="2B0067DF"/>
    <w:rsid w:val="2C4065D3"/>
    <w:rsid w:val="2C677FBF"/>
    <w:rsid w:val="2C8F216A"/>
    <w:rsid w:val="2CC213B2"/>
    <w:rsid w:val="2D3E2F87"/>
    <w:rsid w:val="2E54293D"/>
    <w:rsid w:val="30472B30"/>
    <w:rsid w:val="30D94465"/>
    <w:rsid w:val="31894029"/>
    <w:rsid w:val="34DF2401"/>
    <w:rsid w:val="36E954DB"/>
    <w:rsid w:val="3A0A7EB2"/>
    <w:rsid w:val="3BA23118"/>
    <w:rsid w:val="3CD51D95"/>
    <w:rsid w:val="3D5C3BFF"/>
    <w:rsid w:val="408B577C"/>
    <w:rsid w:val="41E635B1"/>
    <w:rsid w:val="420C20BE"/>
    <w:rsid w:val="42255F6E"/>
    <w:rsid w:val="437669CC"/>
    <w:rsid w:val="440715B2"/>
    <w:rsid w:val="46C34EB6"/>
    <w:rsid w:val="47530816"/>
    <w:rsid w:val="475E13F3"/>
    <w:rsid w:val="486F684C"/>
    <w:rsid w:val="48A7150F"/>
    <w:rsid w:val="492050DE"/>
    <w:rsid w:val="4937266D"/>
    <w:rsid w:val="4AE04D36"/>
    <w:rsid w:val="4D6114A6"/>
    <w:rsid w:val="4F786D3E"/>
    <w:rsid w:val="50315175"/>
    <w:rsid w:val="51182912"/>
    <w:rsid w:val="551A2095"/>
    <w:rsid w:val="55F3318D"/>
    <w:rsid w:val="565E3B54"/>
    <w:rsid w:val="568A4934"/>
    <w:rsid w:val="568C5554"/>
    <w:rsid w:val="5749043D"/>
    <w:rsid w:val="57A56A15"/>
    <w:rsid w:val="5AA76995"/>
    <w:rsid w:val="5ECE06A2"/>
    <w:rsid w:val="5F361504"/>
    <w:rsid w:val="5F730532"/>
    <w:rsid w:val="61315F44"/>
    <w:rsid w:val="6AA66C98"/>
    <w:rsid w:val="6BDB025D"/>
    <w:rsid w:val="6DA60858"/>
    <w:rsid w:val="6E2B24DE"/>
    <w:rsid w:val="70584CF3"/>
    <w:rsid w:val="7087119A"/>
    <w:rsid w:val="71CD42D9"/>
    <w:rsid w:val="72B36952"/>
    <w:rsid w:val="737E476A"/>
    <w:rsid w:val="73DF2732"/>
    <w:rsid w:val="745B68A3"/>
    <w:rsid w:val="75226C12"/>
    <w:rsid w:val="7694522B"/>
    <w:rsid w:val="781E7ED7"/>
    <w:rsid w:val="785C47F3"/>
    <w:rsid w:val="78937A87"/>
    <w:rsid w:val="790206B8"/>
    <w:rsid w:val="7D17666B"/>
    <w:rsid w:val="7E550FDC"/>
    <w:rsid w:val="7EAE551E"/>
    <w:rsid w:val="7F60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