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89CC6">
      <w:pPr>
        <w:ind w:firstLine="640" w:firstLineChars="200"/>
        <w:rPr>
          <w:rFonts w:hint="eastAsia" w:ascii="仿宋" w:hAnsi="仿宋" w:eastAsia="仿宋" w:cs="仿宋"/>
          <w:b w:val="0"/>
          <w:bCs w:val="0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</w:rPr>
        <w:t>近期不少领导咨询微短剧相关内容。比如微短剧格式、时长、集数，是否可以用动漫等形式之类等。在此，集中答复。</w:t>
      </w:r>
    </w:p>
    <w:p w14:paraId="19B686CE">
      <w:pPr>
        <w:ind w:firstLine="640" w:firstLineChars="200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网络微短剧是指单集时长从几十秒到15分钟左右、有明确的主题和主线、连续和完整的故事情节、突出的人物角色的网络视听节目。（单集时长最长不超过20分钟含片头片尾）根据呈现的形态，分为横屏微短剧、竖屏微短剧等，根据生产形态，分为平台微短剧、“小程序”微短剧等。</w:t>
      </w:r>
    </w:p>
    <w:p w14:paraId="4953BD28">
      <w:pPr>
        <w:ind w:firstLine="640" w:firstLineChars="200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视频分辨率不低于1080*720，且必须从高清母带采集，码率不低于5500kbps，视频帧率大于25帧/秒，音频格式AAC，音频码率不低于128kbps，封装格式MP4。</w:t>
      </w:r>
    </w:p>
    <w:p w14:paraId="1655893D">
      <w:pPr>
        <w:ind w:firstLine="640" w:firstLineChars="200"/>
        <w:rPr>
          <w:rFonts w:hint="eastAsia"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剧情类动漫作品一般是网络动画片，不是微短剧。利用AI、AIGC等技术创作，非真人演艺的作品，符合微短剧定义的，业内普遍认为是AIGC微短剧。</w:t>
      </w:r>
    </w:p>
    <w:p w14:paraId="5DE37C54">
      <w:pPr>
        <w:rPr>
          <w:rFonts w:hint="eastAsia" w:ascii="仿宋" w:hAnsi="仿宋" w:eastAsia="仿宋" w:cs="仿宋"/>
          <w:b w:val="0"/>
          <w:bCs w:val="0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3870A0"/>
    <w:rsid w:val="6A98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b/>
      <w:bCs/>
      <w:color w:val="auto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