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hint="eastAsia" w:ascii="仿宋" w:hAnsi="仿宋" w:eastAsia="仿宋" w:cs="仿宋"/>
          <w:b/>
          <w:bCs/>
          <w:color w:val="000000"/>
          <w:spacing w:val="20"/>
          <w:sz w:val="48"/>
          <w:szCs w:val="48"/>
        </w:rPr>
      </w:pPr>
    </w:p>
    <w:p>
      <w:pPr>
        <w:spacing w:after="312" w:afterLines="100"/>
        <w:jc w:val="center"/>
        <w:rPr>
          <w:rFonts w:hint="eastAsia" w:ascii="仿宋" w:hAnsi="仿宋" w:eastAsia="仿宋" w:cs="仿宋"/>
          <w:b/>
          <w:bCs/>
          <w:color w:val="000000"/>
          <w:spacing w:val="20"/>
          <w:sz w:val="48"/>
          <w:szCs w:val="48"/>
        </w:rPr>
      </w:pPr>
    </w:p>
    <w:p>
      <w:pPr>
        <w:spacing w:after="312" w:afterLines="100"/>
        <w:jc w:val="center"/>
        <w:rPr>
          <w:rFonts w:hint="eastAsia" w:ascii="仿宋" w:hAnsi="仿宋" w:eastAsia="仿宋" w:cs="仿宋"/>
          <w:b/>
          <w:bCs/>
          <w:color w:val="000000"/>
          <w:spacing w:val="20"/>
          <w:sz w:val="48"/>
          <w:szCs w:val="48"/>
        </w:rPr>
      </w:pPr>
      <w:r>
        <w:rPr>
          <w:rFonts w:hint="eastAsia" w:ascii="仿宋" w:hAnsi="仿宋" w:eastAsia="仿宋" w:cs="仿宋"/>
          <w:b/>
          <w:bCs/>
          <w:color w:val="000000"/>
          <w:spacing w:val="20"/>
          <w:sz w:val="48"/>
          <w:szCs w:val="48"/>
        </w:rPr>
        <w:t>五年制高等职业教育</w:t>
      </w:r>
      <w:r>
        <w:rPr>
          <w:rFonts w:hint="eastAsia" w:ascii="仿宋" w:hAnsi="仿宋" w:eastAsia="仿宋" w:cs="仿宋"/>
          <w:b/>
          <w:bCs/>
          <w:color w:val="000000"/>
          <w:spacing w:val="20"/>
          <w:sz w:val="48"/>
          <w:szCs w:val="48"/>
          <w:lang w:val="en-US" w:eastAsia="zh-CN"/>
        </w:rPr>
        <w:t>康复治疗技术</w:t>
      </w:r>
      <w:r>
        <w:rPr>
          <w:rFonts w:hint="eastAsia" w:ascii="仿宋" w:hAnsi="仿宋" w:eastAsia="仿宋" w:cs="仿宋"/>
          <w:b/>
          <w:bCs/>
          <w:color w:val="000000"/>
          <w:sz w:val="48"/>
          <w:szCs w:val="48"/>
        </w:rPr>
        <w:t>专业</w:t>
      </w:r>
    </w:p>
    <w:p>
      <w:pPr>
        <w:spacing w:after="156" w:afterLines="50"/>
        <w:jc w:val="center"/>
        <w:rPr>
          <w:rFonts w:hint="eastAsia" w:ascii="仿宋" w:hAnsi="仿宋" w:eastAsia="仿宋" w:cs="仿宋"/>
          <w:b/>
          <w:bCs/>
          <w:color w:val="000000"/>
          <w:sz w:val="48"/>
          <w:szCs w:val="48"/>
        </w:rPr>
      </w:pPr>
      <w:r>
        <w:rPr>
          <w:rFonts w:hint="eastAsia" w:ascii="仿宋" w:hAnsi="仿宋" w:eastAsia="仿宋" w:cs="仿宋"/>
          <w:b/>
          <w:bCs/>
          <w:color w:val="000000"/>
          <w:sz w:val="48"/>
          <w:szCs w:val="48"/>
        </w:rPr>
        <w:t>实施性人才培养方案</w:t>
      </w:r>
    </w:p>
    <w:p>
      <w:pPr>
        <w:spacing w:after="156" w:afterLines="50"/>
        <w:jc w:val="center"/>
        <w:rPr>
          <w:rFonts w:hint="eastAsia" w:ascii="仿宋" w:hAnsi="仿宋" w:eastAsia="仿宋" w:cs="仿宋"/>
          <w:bCs/>
          <w:color w:val="000000"/>
          <w:sz w:val="48"/>
          <w:szCs w:val="48"/>
        </w:rPr>
      </w:pPr>
      <w:r>
        <w:rPr>
          <w:rFonts w:hint="eastAsia" w:ascii="仿宋" w:hAnsi="仿宋" w:eastAsia="仿宋" w:cs="仿宋"/>
          <w:bCs/>
          <w:color w:val="000000"/>
          <w:sz w:val="48"/>
          <w:szCs w:val="48"/>
        </w:rPr>
        <w:t>（20</w:t>
      </w:r>
      <w:r>
        <w:rPr>
          <w:rFonts w:hint="eastAsia" w:ascii="仿宋" w:hAnsi="仿宋" w:eastAsia="仿宋" w:cs="仿宋"/>
          <w:bCs/>
          <w:color w:val="000000"/>
          <w:sz w:val="48"/>
          <w:szCs w:val="48"/>
          <w:lang w:val="en-US" w:eastAsia="zh-CN"/>
        </w:rPr>
        <w:t>20</w:t>
      </w:r>
      <w:r>
        <w:rPr>
          <w:rFonts w:hint="eastAsia" w:ascii="仿宋" w:hAnsi="仿宋" w:eastAsia="仿宋" w:cs="仿宋"/>
          <w:bCs/>
          <w:color w:val="000000"/>
          <w:sz w:val="48"/>
          <w:szCs w:val="48"/>
        </w:rPr>
        <w:t>年修订）</w:t>
      </w:r>
    </w:p>
    <w:p>
      <w:pPr>
        <w:spacing w:after="468" w:afterLines="150"/>
        <w:jc w:val="center"/>
        <w:rPr>
          <w:rFonts w:hint="eastAsia" w:hAnsi="宋体"/>
          <w:b/>
          <w:bCs/>
          <w:color w:val="000000"/>
          <w:sz w:val="44"/>
          <w:szCs w:val="44"/>
        </w:rPr>
      </w:pPr>
    </w:p>
    <w:p>
      <w:pPr>
        <w:spacing w:after="468" w:afterLines="150"/>
        <w:jc w:val="center"/>
        <w:rPr>
          <w:rFonts w:hint="eastAsia" w:hAnsi="宋体"/>
          <w:b/>
          <w:bCs/>
          <w:color w:val="000000"/>
          <w:sz w:val="44"/>
          <w:szCs w:val="44"/>
        </w:rPr>
      </w:pPr>
    </w:p>
    <w:p>
      <w:pPr>
        <w:spacing w:after="468" w:afterLines="150"/>
        <w:jc w:val="center"/>
        <w:rPr>
          <w:rFonts w:hint="eastAsia" w:hAnsi="宋体"/>
          <w:b/>
          <w:bCs/>
          <w:color w:val="000000"/>
          <w:sz w:val="44"/>
          <w:szCs w:val="44"/>
        </w:rPr>
      </w:pPr>
    </w:p>
    <w:p>
      <w:pPr>
        <w:spacing w:after="468" w:afterLines="150"/>
        <w:jc w:val="center"/>
        <w:rPr>
          <w:rFonts w:hint="eastAsia" w:hAnsi="宋体"/>
          <w:b/>
          <w:bCs/>
          <w:color w:val="000000"/>
          <w:sz w:val="44"/>
          <w:szCs w:val="44"/>
        </w:rPr>
      </w:pPr>
    </w:p>
    <w:p>
      <w:pPr>
        <w:spacing w:line="360" w:lineRule="auto"/>
        <w:rPr>
          <w:rFonts w:hint="eastAsia" w:hAnsi="宋体"/>
          <w:b/>
          <w:bCs/>
          <w:color w:val="000000"/>
          <w:sz w:val="44"/>
          <w:szCs w:val="44"/>
        </w:rPr>
      </w:pPr>
    </w:p>
    <w:p>
      <w:pPr>
        <w:spacing w:line="360" w:lineRule="auto"/>
        <w:jc w:val="center"/>
        <w:rPr>
          <w:rFonts w:hint="eastAsia" w:ascii="黑体" w:hAnsi="宋体" w:eastAsia="黑体"/>
          <w:b/>
          <w:bCs/>
          <w:color w:val="000000"/>
          <w:sz w:val="36"/>
          <w:szCs w:val="36"/>
        </w:rPr>
      </w:pPr>
    </w:p>
    <w:p>
      <w:pPr>
        <w:spacing w:line="360" w:lineRule="auto"/>
        <w:jc w:val="center"/>
        <w:rPr>
          <w:rFonts w:hint="eastAsia" w:ascii="仿宋" w:hAnsi="仿宋" w:eastAsia="仿宋" w:cs="仿宋"/>
          <w:b w:val="0"/>
          <w:bCs w:val="0"/>
          <w:color w:val="000000"/>
          <w:sz w:val="36"/>
          <w:szCs w:val="36"/>
        </w:rPr>
      </w:pPr>
      <w:r>
        <w:rPr>
          <w:rFonts w:hint="eastAsia" w:ascii="仿宋" w:hAnsi="仿宋" w:eastAsia="仿宋" w:cs="仿宋"/>
          <w:b w:val="0"/>
          <w:bCs w:val="0"/>
          <w:color w:val="000000"/>
          <w:sz w:val="36"/>
          <w:szCs w:val="36"/>
        </w:rPr>
        <w:t>江苏联合职业技术学院连云港中医药分院</w:t>
      </w:r>
    </w:p>
    <w:p>
      <w:pPr>
        <w:spacing w:line="360" w:lineRule="auto"/>
        <w:jc w:val="center"/>
        <w:rPr>
          <w:rFonts w:hint="eastAsia" w:ascii="仿宋" w:hAnsi="仿宋" w:eastAsia="仿宋" w:cs="仿宋"/>
          <w:b w:val="0"/>
          <w:bCs w:val="0"/>
          <w:color w:val="000000"/>
          <w:sz w:val="36"/>
          <w:szCs w:val="36"/>
        </w:rPr>
      </w:pPr>
      <w:r>
        <w:rPr>
          <w:rFonts w:hint="eastAsia" w:ascii="仿宋" w:hAnsi="仿宋" w:eastAsia="仿宋" w:cs="仿宋"/>
          <w:b w:val="0"/>
          <w:bCs w:val="0"/>
          <w:color w:val="000000"/>
          <w:sz w:val="36"/>
          <w:szCs w:val="36"/>
        </w:rPr>
        <w:t>二〇二〇年</w:t>
      </w:r>
      <w:r>
        <w:rPr>
          <w:rFonts w:hint="eastAsia" w:ascii="仿宋" w:hAnsi="仿宋" w:eastAsia="仿宋" w:cs="仿宋"/>
          <w:b w:val="0"/>
          <w:bCs w:val="0"/>
          <w:color w:val="000000"/>
          <w:sz w:val="36"/>
          <w:szCs w:val="36"/>
          <w:lang w:val="en-US" w:eastAsia="zh-CN"/>
        </w:rPr>
        <w:t>六</w:t>
      </w:r>
      <w:r>
        <w:rPr>
          <w:rFonts w:hint="eastAsia" w:ascii="仿宋" w:hAnsi="仿宋" w:eastAsia="仿宋" w:cs="仿宋"/>
          <w:b w:val="0"/>
          <w:bCs w:val="0"/>
          <w:color w:val="000000"/>
          <w:sz w:val="36"/>
          <w:szCs w:val="36"/>
        </w:rPr>
        <w:t>月</w:t>
      </w:r>
    </w:p>
    <w:p>
      <w:pPr>
        <w:spacing w:before="240" w:after="60" w:line="360" w:lineRule="exact"/>
        <w:jc w:val="center"/>
        <w:outlineLvl w:val="0"/>
        <w:rPr>
          <w:rFonts w:hint="eastAsia" w:ascii="仿宋" w:hAnsi="仿宋" w:eastAsia="仿宋"/>
          <w:b/>
          <w:bCs/>
          <w:sz w:val="32"/>
          <w:szCs w:val="32"/>
        </w:rPr>
        <w:sectPr>
          <w:footerReference r:id="rId3" w:type="default"/>
          <w:footerReference r:id="rId4" w:type="even"/>
          <w:pgSz w:w="11907" w:h="16840"/>
          <w:pgMar w:top="1558" w:right="1467" w:bottom="1558" w:left="1440" w:header="851" w:footer="992" w:gutter="0"/>
          <w:cols w:space="720" w:num="1"/>
          <w:docGrid w:type="lines" w:linePitch="312" w:charSpace="0"/>
        </w:sectPr>
      </w:pPr>
    </w:p>
    <w:p>
      <w:pPr>
        <w:spacing w:before="240" w:after="60" w:line="360" w:lineRule="exact"/>
        <w:ind w:firstLine="1606" w:firstLineChars="500"/>
        <w:jc w:val="both"/>
        <w:outlineLvl w:val="0"/>
        <w:rPr>
          <w:rFonts w:ascii="Cambria" w:hAnsi="Cambria"/>
          <w:b/>
          <w:bCs/>
          <w:sz w:val="32"/>
          <w:szCs w:val="32"/>
        </w:rPr>
      </w:pPr>
      <w:r>
        <w:rPr>
          <w:rFonts w:hint="eastAsia" w:ascii="仿宋" w:hAnsi="仿宋" w:eastAsia="仿宋"/>
          <w:b/>
          <w:bCs/>
          <w:sz w:val="32"/>
          <w:szCs w:val="32"/>
        </w:rPr>
        <w:t>五年制高等职业教育</w:t>
      </w:r>
      <w:r>
        <w:rPr>
          <w:rFonts w:hint="eastAsia" w:ascii="Cambria" w:hAnsi="Cambria"/>
          <w:b/>
          <w:bCs/>
          <w:sz w:val="32"/>
          <w:szCs w:val="32"/>
        </w:rPr>
        <w:t>康复治疗技术专业</w:t>
      </w:r>
    </w:p>
    <w:p>
      <w:pPr>
        <w:spacing w:before="240" w:after="60" w:line="360" w:lineRule="exact"/>
        <w:jc w:val="center"/>
        <w:outlineLvl w:val="0"/>
        <w:rPr>
          <w:rFonts w:ascii="Cambria" w:hAnsi="Cambria"/>
          <w:b/>
          <w:bCs/>
          <w:sz w:val="32"/>
          <w:szCs w:val="32"/>
        </w:rPr>
      </w:pPr>
      <w:r>
        <w:rPr>
          <w:rFonts w:hint="eastAsia" w:ascii="Cambria" w:hAnsi="Cambria"/>
          <w:b/>
          <w:bCs/>
          <w:sz w:val="32"/>
          <w:szCs w:val="32"/>
          <w:lang w:val="en-US" w:eastAsia="zh-CN"/>
        </w:rPr>
        <w:t xml:space="preserve">   </w:t>
      </w:r>
      <w:bookmarkStart w:id="0" w:name="_GoBack"/>
      <w:bookmarkEnd w:id="0"/>
      <w:r>
        <w:rPr>
          <w:rFonts w:hint="eastAsia" w:ascii="Cambria" w:hAnsi="Cambria"/>
          <w:b/>
          <w:bCs/>
          <w:sz w:val="32"/>
          <w:szCs w:val="32"/>
        </w:rPr>
        <w:t>实施性人才培养方案（2020）</w:t>
      </w:r>
    </w:p>
    <w:p>
      <w:pPr>
        <w:adjustRightInd w:val="0"/>
        <w:snapToGrid w:val="0"/>
        <w:spacing w:line="360" w:lineRule="exact"/>
        <w:ind w:firstLine="422" w:firstLineChars="200"/>
        <w:rPr>
          <w:rFonts w:ascii="仿宋" w:hAnsi="仿宋" w:eastAsia="仿宋" w:cs="仿宋"/>
          <w:b/>
          <w:szCs w:val="21"/>
        </w:rPr>
      </w:pPr>
      <w:r>
        <w:rPr>
          <w:rFonts w:hint="eastAsia" w:ascii="仿宋" w:hAnsi="仿宋" w:eastAsia="仿宋" w:cs="仿宋"/>
          <w:b/>
          <w:szCs w:val="21"/>
        </w:rPr>
        <w:t>一、专业名称（专业代码）</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康复治疗技术（620501）</w:t>
      </w:r>
    </w:p>
    <w:p>
      <w:pPr>
        <w:adjustRightInd w:val="0"/>
        <w:snapToGrid w:val="0"/>
        <w:spacing w:line="360" w:lineRule="exact"/>
        <w:ind w:firstLine="422" w:firstLineChars="200"/>
        <w:rPr>
          <w:rFonts w:ascii="仿宋" w:hAnsi="仿宋" w:eastAsia="仿宋" w:cs="仿宋"/>
          <w:b/>
          <w:szCs w:val="21"/>
        </w:rPr>
      </w:pPr>
      <w:r>
        <w:rPr>
          <w:rFonts w:hint="eastAsia" w:ascii="仿宋" w:hAnsi="仿宋" w:eastAsia="仿宋" w:cs="仿宋"/>
          <w:b/>
          <w:szCs w:val="21"/>
        </w:rPr>
        <w:t>二、入学条件</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初中阶段教育应届毕业生</w:t>
      </w:r>
    </w:p>
    <w:p>
      <w:pPr>
        <w:adjustRightInd w:val="0"/>
        <w:snapToGrid w:val="0"/>
        <w:spacing w:line="360" w:lineRule="exact"/>
        <w:ind w:firstLine="422" w:firstLineChars="200"/>
        <w:rPr>
          <w:rFonts w:ascii="仿宋" w:hAnsi="仿宋" w:eastAsia="仿宋" w:cs="仿宋"/>
          <w:b/>
          <w:szCs w:val="21"/>
        </w:rPr>
      </w:pPr>
      <w:r>
        <w:rPr>
          <w:rFonts w:hint="eastAsia" w:ascii="仿宋" w:hAnsi="仿宋" w:eastAsia="仿宋" w:cs="仿宋"/>
          <w:b/>
          <w:szCs w:val="21"/>
        </w:rPr>
        <w:t>三、修业年限</w:t>
      </w:r>
    </w:p>
    <w:p>
      <w:pPr>
        <w:snapToGrid w:val="0"/>
        <w:spacing w:line="276" w:lineRule="auto"/>
        <w:ind w:firstLine="420" w:firstLineChars="200"/>
        <w:rPr>
          <w:rFonts w:ascii="仿宋" w:hAnsi="仿宋" w:eastAsia="仿宋" w:cs="仿宋"/>
          <w:bCs/>
          <w:kern w:val="0"/>
          <w:szCs w:val="21"/>
        </w:rPr>
      </w:pPr>
      <w:r>
        <w:rPr>
          <w:rFonts w:hint="eastAsia" w:ascii="仿宋" w:hAnsi="仿宋" w:eastAsia="仿宋" w:cs="仿宋"/>
          <w:bCs/>
          <w:kern w:val="0"/>
          <w:szCs w:val="21"/>
        </w:rPr>
        <w:t>五年一贯制</w:t>
      </w:r>
    </w:p>
    <w:p>
      <w:pPr>
        <w:adjustRightInd w:val="0"/>
        <w:snapToGrid w:val="0"/>
        <w:spacing w:line="360" w:lineRule="exact"/>
        <w:ind w:firstLine="422" w:firstLineChars="200"/>
        <w:rPr>
          <w:rFonts w:ascii="仿宋" w:hAnsi="仿宋" w:eastAsia="仿宋" w:cs="仿宋"/>
          <w:bCs/>
          <w:kern w:val="0"/>
          <w:szCs w:val="21"/>
        </w:rPr>
      </w:pPr>
      <w:r>
        <w:rPr>
          <w:rFonts w:hint="eastAsia" w:ascii="仿宋" w:hAnsi="仿宋" w:eastAsia="仿宋" w:cs="仿宋"/>
          <w:b/>
          <w:szCs w:val="21"/>
        </w:rPr>
        <w:t>四、职业面向</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1231"/>
        <w:gridCol w:w="1074"/>
        <w:gridCol w:w="2148"/>
        <w:gridCol w:w="1254"/>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1383" w:type="dxa"/>
          </w:tcPr>
          <w:p>
            <w:pPr>
              <w:snapToGrid w:val="0"/>
              <w:spacing w:line="276" w:lineRule="auto"/>
              <w:jc w:val="center"/>
              <w:rPr>
                <w:rFonts w:ascii="仿宋" w:hAnsi="仿宋" w:eastAsia="仿宋" w:cs="仿宋"/>
                <w:b/>
                <w:szCs w:val="21"/>
              </w:rPr>
            </w:pPr>
            <w:r>
              <w:rPr>
                <w:rFonts w:hint="eastAsia" w:ascii="仿宋" w:hAnsi="仿宋" w:eastAsia="仿宋" w:cs="仿宋"/>
                <w:b/>
                <w:szCs w:val="21"/>
              </w:rPr>
              <w:t>所属专业大类（代码）</w:t>
            </w:r>
          </w:p>
        </w:tc>
        <w:tc>
          <w:tcPr>
            <w:tcW w:w="1231" w:type="dxa"/>
          </w:tcPr>
          <w:p>
            <w:pPr>
              <w:snapToGrid w:val="0"/>
              <w:spacing w:line="276" w:lineRule="auto"/>
              <w:jc w:val="center"/>
              <w:rPr>
                <w:rFonts w:ascii="仿宋" w:hAnsi="仿宋" w:eastAsia="仿宋" w:cs="仿宋"/>
                <w:b/>
                <w:szCs w:val="21"/>
              </w:rPr>
            </w:pPr>
            <w:r>
              <w:rPr>
                <w:rFonts w:hint="eastAsia" w:ascii="仿宋" w:hAnsi="仿宋" w:eastAsia="仿宋" w:cs="仿宋"/>
                <w:b/>
                <w:szCs w:val="21"/>
              </w:rPr>
              <w:t>所属专业类（代码）</w:t>
            </w:r>
          </w:p>
        </w:tc>
        <w:tc>
          <w:tcPr>
            <w:tcW w:w="1074" w:type="dxa"/>
            <w:tcBorders>
              <w:bottom w:val="single" w:color="auto" w:sz="4" w:space="0"/>
            </w:tcBorders>
          </w:tcPr>
          <w:p>
            <w:pPr>
              <w:snapToGrid w:val="0"/>
              <w:spacing w:line="276" w:lineRule="auto"/>
              <w:jc w:val="center"/>
              <w:rPr>
                <w:rFonts w:ascii="仿宋" w:hAnsi="仿宋" w:eastAsia="仿宋" w:cs="仿宋"/>
                <w:b/>
                <w:szCs w:val="21"/>
              </w:rPr>
            </w:pPr>
            <w:r>
              <w:rPr>
                <w:rFonts w:hint="eastAsia" w:ascii="仿宋" w:hAnsi="仿宋" w:eastAsia="仿宋" w:cs="仿宋"/>
                <w:b/>
                <w:szCs w:val="21"/>
              </w:rPr>
              <w:t>对应行业（代码）</w:t>
            </w:r>
          </w:p>
        </w:tc>
        <w:tc>
          <w:tcPr>
            <w:tcW w:w="2148" w:type="dxa"/>
            <w:tcBorders>
              <w:bottom w:val="single" w:color="auto" w:sz="4" w:space="0"/>
            </w:tcBorders>
          </w:tcPr>
          <w:p>
            <w:pPr>
              <w:snapToGrid w:val="0"/>
              <w:spacing w:line="276" w:lineRule="auto"/>
              <w:jc w:val="center"/>
              <w:rPr>
                <w:rFonts w:ascii="仿宋" w:hAnsi="仿宋" w:eastAsia="仿宋" w:cs="仿宋"/>
                <w:b/>
                <w:szCs w:val="21"/>
              </w:rPr>
            </w:pPr>
            <w:r>
              <w:rPr>
                <w:rFonts w:hint="eastAsia" w:ascii="仿宋" w:hAnsi="仿宋" w:eastAsia="仿宋" w:cs="仿宋"/>
                <w:b/>
                <w:szCs w:val="21"/>
              </w:rPr>
              <w:t>主要职业类别（代码）</w:t>
            </w:r>
          </w:p>
        </w:tc>
        <w:tc>
          <w:tcPr>
            <w:tcW w:w="1254" w:type="dxa"/>
            <w:tcBorders>
              <w:bottom w:val="single" w:color="auto" w:sz="4" w:space="0"/>
            </w:tcBorders>
          </w:tcPr>
          <w:p>
            <w:pPr>
              <w:snapToGrid w:val="0"/>
              <w:spacing w:line="276" w:lineRule="auto"/>
              <w:rPr>
                <w:rFonts w:ascii="仿宋" w:hAnsi="仿宋" w:eastAsia="仿宋" w:cs="仿宋"/>
                <w:b/>
                <w:szCs w:val="21"/>
              </w:rPr>
            </w:pPr>
            <w:r>
              <w:rPr>
                <w:rFonts w:hint="eastAsia" w:ascii="仿宋" w:hAnsi="仿宋" w:eastAsia="仿宋" w:cs="仿宋"/>
                <w:b/>
                <w:szCs w:val="21"/>
              </w:rPr>
              <w:t>主要岗位群或技术领域举例</w:t>
            </w:r>
          </w:p>
        </w:tc>
        <w:tc>
          <w:tcPr>
            <w:tcW w:w="1432" w:type="dxa"/>
          </w:tcPr>
          <w:p>
            <w:pPr>
              <w:snapToGrid w:val="0"/>
              <w:spacing w:line="276" w:lineRule="auto"/>
              <w:jc w:val="center"/>
              <w:rPr>
                <w:rFonts w:ascii="仿宋" w:hAnsi="仿宋" w:eastAsia="仿宋" w:cs="仿宋"/>
                <w:b/>
                <w:szCs w:val="21"/>
              </w:rPr>
            </w:pPr>
            <w:r>
              <w:rPr>
                <w:rFonts w:hint="eastAsia" w:ascii="仿宋" w:hAnsi="仿宋" w:eastAsia="仿宋" w:cs="仿宋"/>
                <w:b/>
                <w:szCs w:val="21"/>
              </w:rPr>
              <w:t>职业资格证书和职业技能等级证书举例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383" w:type="dxa"/>
          </w:tcPr>
          <w:p>
            <w:pPr>
              <w:snapToGrid w:val="0"/>
              <w:spacing w:line="276" w:lineRule="auto"/>
              <w:jc w:val="center"/>
              <w:rPr>
                <w:rFonts w:ascii="仿宋" w:hAnsi="仿宋" w:eastAsia="仿宋" w:cs="仿宋"/>
                <w:szCs w:val="21"/>
              </w:rPr>
            </w:pPr>
            <w:r>
              <w:rPr>
                <w:rFonts w:hint="eastAsia" w:ascii="仿宋" w:hAnsi="仿宋" w:eastAsia="仿宋" w:cs="仿宋"/>
                <w:szCs w:val="21"/>
              </w:rPr>
              <w:t>医药卫生大类（62）</w:t>
            </w:r>
          </w:p>
        </w:tc>
        <w:tc>
          <w:tcPr>
            <w:tcW w:w="1231" w:type="dxa"/>
          </w:tcPr>
          <w:p>
            <w:pPr>
              <w:snapToGrid w:val="0"/>
              <w:spacing w:line="276" w:lineRule="auto"/>
              <w:rPr>
                <w:rFonts w:ascii="仿宋" w:hAnsi="仿宋" w:eastAsia="仿宋" w:cs="仿宋"/>
                <w:szCs w:val="21"/>
              </w:rPr>
            </w:pPr>
            <w:r>
              <w:rPr>
                <w:rFonts w:hint="eastAsia" w:ascii="仿宋" w:hAnsi="仿宋" w:eastAsia="仿宋" w:cs="仿宋"/>
                <w:szCs w:val="21"/>
              </w:rPr>
              <w:t>康复治疗类（6205）</w:t>
            </w:r>
          </w:p>
        </w:tc>
        <w:tc>
          <w:tcPr>
            <w:tcW w:w="1074" w:type="dxa"/>
            <w:tcBorders>
              <w:right w:val="single" w:color="auto" w:sz="4" w:space="0"/>
            </w:tcBorders>
          </w:tcPr>
          <w:p>
            <w:pPr>
              <w:snapToGrid w:val="0"/>
              <w:spacing w:line="276" w:lineRule="auto"/>
              <w:rPr>
                <w:rFonts w:ascii="仿宋" w:hAnsi="仿宋" w:eastAsia="仿宋" w:cs="仿宋"/>
                <w:szCs w:val="21"/>
              </w:rPr>
            </w:pPr>
            <w:r>
              <w:rPr>
                <w:rFonts w:hint="eastAsia" w:ascii="仿宋" w:hAnsi="仿宋" w:eastAsia="仿宋" w:cs="仿宋"/>
                <w:szCs w:val="21"/>
              </w:rPr>
              <w:t>卫生（84）</w:t>
            </w:r>
          </w:p>
          <w:p>
            <w:pPr>
              <w:snapToGrid w:val="0"/>
              <w:spacing w:line="276" w:lineRule="auto"/>
              <w:rPr>
                <w:rFonts w:ascii="仿宋" w:hAnsi="仿宋" w:eastAsia="仿宋" w:cs="仿宋"/>
                <w:szCs w:val="21"/>
              </w:rPr>
            </w:pPr>
            <w:r>
              <w:rPr>
                <w:rFonts w:hint="eastAsia" w:ascii="仿宋" w:hAnsi="仿宋" w:eastAsia="仿宋" w:cs="仿宋"/>
                <w:szCs w:val="21"/>
              </w:rPr>
              <w:t>社会工作（85）</w:t>
            </w:r>
          </w:p>
        </w:tc>
        <w:tc>
          <w:tcPr>
            <w:tcW w:w="2148" w:type="dxa"/>
            <w:tcBorders>
              <w:top w:val="single" w:color="auto" w:sz="4" w:space="0"/>
              <w:left w:val="single" w:color="auto" w:sz="4" w:space="0"/>
              <w:right w:val="single" w:color="auto" w:sz="4" w:space="0"/>
            </w:tcBorders>
          </w:tcPr>
          <w:p>
            <w:pPr>
              <w:snapToGrid w:val="0"/>
              <w:spacing w:line="276" w:lineRule="auto"/>
              <w:jc w:val="center"/>
              <w:rPr>
                <w:rFonts w:ascii="仿宋" w:hAnsi="仿宋" w:eastAsia="仿宋" w:cs="仿宋"/>
                <w:szCs w:val="21"/>
              </w:rPr>
            </w:pPr>
            <w:r>
              <w:rPr>
                <w:rFonts w:hint="eastAsia" w:ascii="仿宋" w:hAnsi="仿宋" w:eastAsia="仿宋" w:cs="仿宋"/>
                <w:szCs w:val="21"/>
              </w:rPr>
              <w:t>康复技师</w:t>
            </w:r>
          </w:p>
          <w:p>
            <w:pPr>
              <w:snapToGrid w:val="0"/>
              <w:spacing w:line="276" w:lineRule="auto"/>
              <w:jc w:val="center"/>
              <w:rPr>
                <w:rFonts w:ascii="仿宋" w:hAnsi="仿宋" w:eastAsia="仿宋" w:cs="仿宋"/>
                <w:szCs w:val="21"/>
              </w:rPr>
            </w:pPr>
            <w:r>
              <w:rPr>
                <w:rFonts w:hint="eastAsia" w:ascii="仿宋" w:hAnsi="仿宋" w:eastAsia="仿宋" w:cs="仿宋"/>
                <w:szCs w:val="21"/>
              </w:rPr>
              <w:t>（2-05-07-13）</w:t>
            </w:r>
          </w:p>
        </w:tc>
        <w:tc>
          <w:tcPr>
            <w:tcW w:w="1254" w:type="dxa"/>
            <w:tcBorders>
              <w:left w:val="single" w:color="auto" w:sz="4" w:space="0"/>
            </w:tcBorders>
          </w:tcPr>
          <w:p>
            <w:pPr>
              <w:snapToGrid w:val="0"/>
              <w:spacing w:line="276" w:lineRule="auto"/>
              <w:rPr>
                <w:rFonts w:ascii="仿宋" w:hAnsi="仿宋" w:eastAsia="仿宋" w:cs="仿宋"/>
                <w:szCs w:val="21"/>
              </w:rPr>
            </w:pPr>
            <w:r>
              <w:rPr>
                <w:rFonts w:hint="eastAsia" w:ascii="仿宋" w:hAnsi="仿宋" w:eastAsia="仿宋" w:cs="仿宋"/>
                <w:szCs w:val="21"/>
              </w:rPr>
              <w:t>物理治疗</w:t>
            </w:r>
          </w:p>
          <w:p>
            <w:pPr>
              <w:snapToGrid w:val="0"/>
              <w:spacing w:line="276" w:lineRule="auto"/>
              <w:rPr>
                <w:rFonts w:ascii="仿宋" w:hAnsi="仿宋" w:eastAsia="仿宋" w:cs="仿宋"/>
                <w:szCs w:val="21"/>
              </w:rPr>
            </w:pPr>
            <w:r>
              <w:rPr>
                <w:rFonts w:hint="eastAsia" w:ascii="仿宋" w:hAnsi="仿宋" w:eastAsia="仿宋" w:cs="仿宋"/>
                <w:szCs w:val="21"/>
              </w:rPr>
              <w:t>作业治疗</w:t>
            </w:r>
          </w:p>
          <w:p>
            <w:pPr>
              <w:snapToGrid w:val="0"/>
              <w:spacing w:line="276" w:lineRule="auto"/>
              <w:rPr>
                <w:rFonts w:ascii="仿宋" w:hAnsi="仿宋" w:eastAsia="仿宋" w:cs="仿宋"/>
                <w:szCs w:val="21"/>
              </w:rPr>
            </w:pPr>
            <w:r>
              <w:rPr>
                <w:rFonts w:hint="eastAsia" w:ascii="仿宋" w:hAnsi="仿宋" w:eastAsia="仿宋" w:cs="仿宋"/>
                <w:szCs w:val="21"/>
              </w:rPr>
              <w:t>言语治疗</w:t>
            </w:r>
          </w:p>
        </w:tc>
        <w:tc>
          <w:tcPr>
            <w:tcW w:w="1432" w:type="dxa"/>
          </w:tcPr>
          <w:p>
            <w:pPr>
              <w:snapToGrid w:val="0"/>
              <w:spacing w:line="276" w:lineRule="auto"/>
              <w:rPr>
                <w:rFonts w:ascii="仿宋" w:hAnsi="仿宋" w:eastAsia="仿宋" w:cs="仿宋"/>
                <w:color w:val="FF0000"/>
                <w:szCs w:val="21"/>
              </w:rPr>
            </w:pPr>
            <w:r>
              <w:rPr>
                <w:rFonts w:hint="eastAsia" w:ascii="仿宋" w:hAnsi="仿宋" w:eastAsia="仿宋" w:cs="仿宋"/>
                <w:szCs w:val="21"/>
              </w:rPr>
              <w:t>康复医学治疗技术（士／师）</w:t>
            </w:r>
          </w:p>
        </w:tc>
      </w:tr>
    </w:tbl>
    <w:p>
      <w:pPr>
        <w:snapToGrid w:val="0"/>
        <w:spacing w:line="276" w:lineRule="auto"/>
        <w:ind w:firstLine="422" w:firstLineChars="200"/>
        <w:rPr>
          <w:rFonts w:ascii="仿宋" w:hAnsi="仿宋" w:eastAsia="仿宋" w:cs="仿宋"/>
          <w:b/>
          <w:szCs w:val="21"/>
        </w:rPr>
      </w:pPr>
      <w:r>
        <w:rPr>
          <w:rFonts w:hint="eastAsia" w:ascii="仿宋" w:hAnsi="仿宋" w:eastAsia="仿宋" w:cs="仿宋"/>
          <w:b/>
          <w:szCs w:val="21"/>
        </w:rPr>
        <w:t>五、培养目标与培养规格</w:t>
      </w:r>
    </w:p>
    <w:p>
      <w:pPr>
        <w:adjustRightInd w:val="0"/>
        <w:snapToGrid w:val="0"/>
        <w:spacing w:line="360" w:lineRule="exact"/>
        <w:ind w:firstLine="422" w:firstLineChars="200"/>
        <w:rPr>
          <w:rFonts w:ascii="仿宋" w:hAnsi="仿宋" w:eastAsia="仿宋" w:cs="仿宋"/>
          <w:b/>
          <w:bCs/>
          <w:kern w:val="0"/>
          <w:szCs w:val="21"/>
        </w:rPr>
      </w:pPr>
      <w:r>
        <w:rPr>
          <w:rFonts w:hint="eastAsia" w:ascii="仿宋" w:hAnsi="仿宋" w:eastAsia="仿宋" w:cs="仿宋"/>
          <w:b/>
          <w:bCs/>
          <w:kern w:val="0"/>
          <w:szCs w:val="21"/>
        </w:rPr>
        <w:t>（一）培养目标</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本专业培养理想信念坚定，德、智、体、美、劳全面发展，具有一定的科学文化水平，良好的人文素养、职业道德和创新意识，精益求精的工匠精神，较强的就业能力和可持续发展能力的高素质康复治疗技术技能人才；掌握康复治疗技术专业知识和技能，面向康复治疗岗位群，能够从事物理治疗、作业治疗、言语治疗等工作的高素质技术技能人才。</w:t>
      </w:r>
    </w:p>
    <w:p>
      <w:pPr>
        <w:adjustRightInd w:val="0"/>
        <w:snapToGrid w:val="0"/>
        <w:spacing w:line="360" w:lineRule="exact"/>
        <w:ind w:firstLine="422" w:firstLineChars="200"/>
        <w:rPr>
          <w:rFonts w:ascii="仿宋" w:hAnsi="仿宋" w:eastAsia="仿宋" w:cs="仿宋"/>
          <w:b/>
          <w:bCs/>
          <w:kern w:val="0"/>
          <w:szCs w:val="21"/>
        </w:rPr>
      </w:pPr>
      <w:r>
        <w:rPr>
          <w:rFonts w:hint="eastAsia" w:ascii="仿宋" w:hAnsi="仿宋" w:eastAsia="仿宋" w:cs="仿宋"/>
          <w:b/>
          <w:bCs/>
          <w:kern w:val="0"/>
          <w:szCs w:val="21"/>
        </w:rPr>
        <w:t>（二）培养规格</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本专业培养具有良好职业道德、人文精神和责任意识，掌握康复专业基本知识和基本技能，能运用康复评定技术为患者进行功能评估，能运用康复治疗技术帮助患者最大程度恢复身心功能，重返职业岗位和回归社会，且具有创新意识和可持续发展能力的高素质技术技能型人才。</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1.综合素质</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1）思想道德素质：拥护党的基本路线，具有正确的世界观、人生观和价值观；吃苦耐劳，乐于奉献，有事业心和责任感；具备正确认识社会、判别是非的基本能力；具有良好的科学精神和创新能力。遵守法律法规、社会公德、职业道德。诚实守信、谦逊正直；有高度的责任感和团队协作精神；具备严谨、认真、细致的工作作风和精益求精的工匠精神。</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（2）科学文化素质：具备合理的文化知识结构、较高的知识层次，以及良好的人文素养，并具有较高的语言表达能力和熟练的计算机操作能力，达到专科毕业生应具有的文化水平。</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3）身心素质：具有良好的生理、心理状态和社会适应能力，能正确认识和评价自己，具备一定的自我心理调整能力和对挫折、失败的承受能力。富有爱心、维护病残者的自尊。具有努力追求自我发展、自我完善、终身学习的精神。</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2.专业素质</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1）知识结构：具有一定的人文社会科学和自然科学基础知识；掌握英语基础知识、计算机操作基本知识和法律法规常识；掌握人体结构与机能、生理病理及运动学、发育学等专业基础知识；掌握康复专业基本理论知识；掌握康复功能评定以及物理治疗、作业治疗、言语治疗、传统康复治疗等技术；掌握假肢与矫形器适配知识；掌握一定的社区康复与环境改造等相关知识；</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2）技能结构：能与患者进行有效沟通；能正确采集病史，为患者进行肢体运动功能、日常作业能力、感觉知觉及认知功能、手功能和言语障碍等的评估，并根据评估结果，制订功能训练计划；能规范地对患者进行恢复和增强肌力训练、维持和改善关节活动范围训练、心肺功能训练、平衡和协调能力训练等运动治疗；能正确选择并运用电疗、光疗、超声、磁疗、热疗、冷疗、水疗、生物反馈等物理因子治疗技术对患者进行康复治疗；能运用推拿、火罐等中国传统康复技术对患者进行康复治疗；能正确规范地对患者进行感觉知觉及认知功能训练；能指导患者进行简单的手工制作治疗、文体治疗；能正确指导患者使用生活辅助器具、假肢、矫形支具，补偿或扩展活动功能等；能正确地对言语功能障碍患者（失语症、构音障碍等）进行基本的言语功能评估和训练，能对语音发育迟缓患儿进行简单语言训练；能独立开展功能障碍的预防和康复知识的宣传教育。</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（3）素质要求</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具有良好的行为规范和职业道德；具有仁心、耐心和奉献精神，能给予康复服务对象以人文关怀；具有良好的团队合作精神；具有良好的心理素质和抗挫能力；遵守医疗法规。</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3.职业能力</w:t>
      </w:r>
    </w:p>
    <w:tbl>
      <w:tblPr>
        <w:tblStyle w:val="5"/>
        <w:tblW w:w="86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134"/>
        <w:gridCol w:w="6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仿宋" w:hAnsi="仿宋" w:eastAsia="仿宋" w:cs="仿宋"/>
                <w:b/>
                <w:bCs/>
                <w:kern w:val="0"/>
                <w:szCs w:val="21"/>
              </w:rPr>
            </w:pPr>
            <w:r>
              <w:rPr>
                <w:rFonts w:hint="eastAsia" w:ascii="仿宋" w:hAnsi="仿宋" w:eastAsia="仿宋" w:cs="仿宋"/>
                <w:b/>
                <w:bCs/>
                <w:kern w:val="0"/>
                <w:szCs w:val="21"/>
              </w:rPr>
              <w:t>职业岗位</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仿宋" w:hAnsi="仿宋" w:eastAsia="仿宋" w:cs="仿宋"/>
                <w:b/>
                <w:bCs/>
                <w:kern w:val="0"/>
                <w:szCs w:val="21"/>
              </w:rPr>
            </w:pPr>
            <w:r>
              <w:rPr>
                <w:rFonts w:hint="eastAsia" w:ascii="仿宋" w:hAnsi="仿宋" w:eastAsia="仿宋" w:cs="仿宋"/>
                <w:b/>
                <w:bCs/>
                <w:kern w:val="0"/>
                <w:szCs w:val="21"/>
              </w:rPr>
              <w:t>工作任务</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仿宋" w:hAnsi="仿宋" w:eastAsia="仿宋" w:cs="仿宋"/>
                <w:b/>
                <w:bCs/>
                <w:kern w:val="0"/>
                <w:szCs w:val="21"/>
              </w:rPr>
            </w:pPr>
            <w:r>
              <w:rPr>
                <w:rFonts w:hint="eastAsia" w:ascii="仿宋" w:hAnsi="仿宋" w:eastAsia="仿宋" w:cs="仿宋"/>
                <w:b/>
                <w:bCs/>
                <w:kern w:val="0"/>
                <w:szCs w:val="21"/>
              </w:rPr>
              <w:t>需具备的主要能力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康复治疗技术</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物理治疗</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1.掌握各种评定技术：人体反射评定、人体形态评定、关节活动度评定、肌力评定、肌张力评定、平衡与协调评定、步态分析评定、感觉评定、神经电生理检查、心肺功能评定、环境评定 、日常生活活动能力评定等</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2.掌握各种物理因子（电疗、光疗、超声波、磁疗、水疗、温热）治疗仪器操作技术、治疗原理</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3.掌握各种物理因子治疗的适应证、禁忌证</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4.了解生物反馈疗法基本知识</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5.掌握各类临床常用运动治疗技术的适用范围、应用原则、适应症与禁忌证</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6.掌握各类临床常用运动治疗技术的原理与操作技能：各类临床常用运动治疗技术的原理与操作技能包括增加关节活动范围的训练、关节松动技术、牵伸训练、牵引技术、增强肌力的训练、增强肌耐力的训练、平衡与协调的训练、转移训练、神经生理学治疗技术、运动再学习技术</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7.熟悉相关临床疾病的运动治疗技术：包括呼吸训练、有氧训练、放松训练、医疗体操</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8.了解临床常见疾病康复中如何应用循证思维选择运动治疗技术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ind w:firstLine="424" w:firstLineChars="202"/>
              <w:rPr>
                <w:rFonts w:ascii="仿宋" w:hAnsi="仿宋" w:eastAsia="仿宋" w:cs="仿宋"/>
                <w:bCs/>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作业治疗</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ind w:firstLine="424" w:firstLineChars="202"/>
              <w:rPr>
                <w:rFonts w:ascii="仿宋" w:hAnsi="仿宋" w:eastAsia="仿宋" w:cs="仿宋"/>
                <w:bCs/>
                <w:kern w:val="0"/>
                <w:szCs w:val="21"/>
              </w:rPr>
            </w:pPr>
            <w:r>
              <w:rPr>
                <w:rFonts w:hint="eastAsia" w:ascii="仿宋" w:hAnsi="仿宋" w:eastAsia="仿宋" w:cs="仿宋"/>
                <w:bCs/>
                <w:kern w:val="0"/>
                <w:szCs w:val="21"/>
              </w:rPr>
              <w:t>作业治疗：包括作业分析、ADL 训练、模拟及实物训练、感知觉训练、职业能力分析、环境改造、辅助具制作与使用等</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1.掌握各种评定技术：人体反射评定、人体形态评定、关节活动度评定、肌力评定、肌张力评定、平衡与协调评定、步态分析评定、感觉评定、神经电生理检查、心肺功能评定、环境评定 、日常生活活动能力评定等</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2.学会对相关功能进行评估</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3.学会进行各种作业活动分析</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4.能够制定作业治疗计划，熟练应用各种作业治疗技术</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5.了解作业外延服务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ind w:firstLine="424" w:firstLineChars="202"/>
              <w:rPr>
                <w:rFonts w:ascii="仿宋" w:hAnsi="仿宋" w:eastAsia="仿宋" w:cs="仿宋"/>
                <w:bCs/>
                <w:kern w:val="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言语治疗</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1.掌握各种评定技术：人体反射评定、人体形态评定、关节活动度评定、肌力评定、肌张力评定、平衡与协调评定、步态分析评定、感觉评定、神经电生理检查、心肺功能评定、环境评定 、日常生活活动能力评定等</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2.熟悉语言障碍的定义、分类、评估方法和治疗原则</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3.熟悉失认症、失用症的评定及训练方法</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4.吞咽障碍:了解吞咽器官的解剖特点,熟悉吞咽功能评定的基本方法,学会吞咽训练的基本方法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传统康复治疗技术</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传统康复治疗</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1.掌握各种评定技术：人体反射评定、人体形态评定、关节活动度评定、肌力评定、肌张力评定、平衡与协调评定、步态分析评定、感觉评定、神经电生理检查、心肺功能评定、环境评定 、日常生活活动能力评定等</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2.掌握中医学的基本理论知识</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3.熟悉中医辨证方法，能够根据患者的体质情况和疾病类型、性质等特点进行辨证与辨病</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4.能够运用中医学的“治未病”防治原则进行养生宣教和指导</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5.了解经络的循行和走向交接规律</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6.学会腧穴的取穴方法</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7.掌握常用腧穴的定位和主治作用</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8.了解常用的针刺方法</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9.掌握各种推拿手法的操作要领以及常见疾病的手法治疗</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10.熟练进行火罐疗法的操作</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11.熟练进行刮痧疗法的操作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康复医学工程技术</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假肢与矫形器制作及应用</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1.掌握各种评定技术：人体反射评定、人体形态评定、关节活动度评定、肌力评定、肌张力评定、平衡与协调评定、步态分析评定、感觉评定、神经电生理检查、心肺功能评定、环境评定 、日常生活活动能力评定等</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2.了解假肢矫形器发展现状,熟悉假肢矫形器的分类与特点,掌握各类矫形器的命名原则</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3.掌握上、下肢假肢的工作原理和基本结构,熟悉假肢制作的材料和装配流程,了解假肢训练的基本方法</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4.掌握简单的手、前臂、小腿低温板材支具的制作,熟悉各类矫形器的制作流程,了解各类矫形器的制作材料与制作原则</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5.了解轮椅与助行器的特点与分类,熟悉轮椅与助行器的选择和保养,掌握轮椅和助行器使用的基本方法</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6.具有对假肢与矫形器的研究和改进等研发能力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0" w:hRule="atLeast"/>
        </w:trPr>
        <w:tc>
          <w:tcPr>
            <w:tcW w:w="1135" w:type="dxa"/>
            <w:tcBorders>
              <w:top w:val="single" w:color="auto" w:sz="4" w:space="0"/>
              <w:left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社区康复工作</w:t>
            </w:r>
          </w:p>
        </w:tc>
        <w:tc>
          <w:tcPr>
            <w:tcW w:w="1134" w:type="dxa"/>
            <w:tcBorders>
              <w:top w:val="single" w:color="auto" w:sz="4" w:space="0"/>
              <w:left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康复治疗与社区健康管理</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1.具备物理治疗工作岗位能力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2.具备作业治疗工作岗位能力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3.具备言语治疗工作岗位能力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4.具备传统康复治疗工作岗位能力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5.具备假肢与矫形器制作及应用能力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6.社区康复需求与调研：了解统计学基础知识,学会使用各种康复调查表</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7.社区残疾人管理：学会进行社区常见致残性疾病的宣教,具有一定的社区康复治疗的管理能力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8.具有利用社区资源对残障者进行身体、精神、教育、职业、社会生活等方面的康复训练的能力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9.指导社区康复环境改造：学会指导社区的无障碍设施建设,能对家庭环境改造进行指导</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10.能够对家庭简单辅助器具的制作进行指导</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11.能对所辖社区居民进行健康管理相关工作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康复医疗设备研发与营销</w:t>
            </w:r>
          </w:p>
        </w:tc>
        <w:tc>
          <w:tcPr>
            <w:tcW w:w="11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rPr>
                <w:rFonts w:ascii="仿宋" w:hAnsi="仿宋" w:eastAsia="仿宋" w:cs="仿宋"/>
                <w:bCs/>
                <w:kern w:val="0"/>
                <w:szCs w:val="21"/>
              </w:rPr>
            </w:pPr>
            <w:r>
              <w:rPr>
                <w:rFonts w:hint="eastAsia" w:ascii="仿宋" w:hAnsi="仿宋" w:eastAsia="仿宋" w:cs="仿宋"/>
                <w:bCs/>
                <w:kern w:val="0"/>
                <w:szCs w:val="21"/>
              </w:rPr>
              <w:t>康复医疗设备研发销售</w:t>
            </w:r>
          </w:p>
        </w:tc>
        <w:tc>
          <w:tcPr>
            <w:tcW w:w="64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1.掌握各种物理因子（电疗、光疗、超声波、磁疗、水疗、温热）治疗仪器操作技术、治疗原理</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2.掌握各种物理因子（电疗、光疗、超声波、磁疗、水疗、温热）治疗仪器操作技术、治疗原理</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3.熟悉失认症、失用症的评定及训练方法</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4.假肢与矫形器制作及应用</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5.具备康复医疗设备的研究和改进等研发能力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6.具有良好的人际交往能力</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7.了解销售相关知识</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8.能进行康复医疗设备与器械的使用讲解并具备基本的销售能力</w:t>
            </w:r>
          </w:p>
        </w:tc>
      </w:tr>
    </w:tbl>
    <w:p>
      <w:pPr>
        <w:adjustRightInd w:val="0"/>
        <w:snapToGrid w:val="0"/>
        <w:spacing w:before="50" w:after="50" w:line="360" w:lineRule="exact"/>
        <w:ind w:firstLine="421"/>
        <w:rPr>
          <w:rFonts w:ascii="仿宋" w:hAnsi="仿宋" w:eastAsia="仿宋" w:cs="仿宋"/>
          <w:b/>
          <w:szCs w:val="21"/>
        </w:rPr>
      </w:pPr>
      <w:r>
        <w:rPr>
          <w:rFonts w:hint="eastAsia" w:ascii="仿宋" w:hAnsi="仿宋" w:eastAsia="仿宋" w:cs="仿宋"/>
          <w:b/>
          <w:szCs w:val="21"/>
        </w:rPr>
        <w:t>六、课程设置及要求</w:t>
      </w:r>
    </w:p>
    <w:p>
      <w:pPr>
        <w:adjustRightInd w:val="0"/>
        <w:snapToGrid w:val="0"/>
        <w:spacing w:before="50" w:after="50" w:line="360" w:lineRule="exact"/>
        <w:ind w:firstLine="421"/>
        <w:rPr>
          <w:rFonts w:ascii="仿宋" w:hAnsi="仿宋" w:eastAsia="仿宋" w:cs="仿宋"/>
          <w:bCs/>
          <w:kern w:val="0"/>
          <w:szCs w:val="21"/>
        </w:rPr>
      </w:pPr>
      <w:r>
        <w:rPr>
          <w:rFonts w:hint="eastAsia" w:ascii="仿宋" w:hAnsi="仿宋" w:eastAsia="仿宋" w:cs="仿宋"/>
          <w:bCs/>
          <w:kern w:val="0"/>
          <w:szCs w:val="21"/>
        </w:rPr>
        <w:t>课程设置依据国家相关文件规定，采用生物-心理-社会医学模式的医学教育的课程框架。依据《指导性人才培养方案（修）订工作意见》，构建“平台+模块”课程体系。五年制高职康复治疗技术专业根据“五年一贯，总体设计”的课程设置原则，采用“平台+模块”课程结构，以体现对专业培养规格的支撑，突出专业教育，加强职业能力培养。“三平台”包括：公共基础课程平台、专业群课程平台、专业课程平台（包括集中专业实践课程）。“三模块”即：专业方向课程模块、选修课模块、素质拓展模块。</w:t>
      </w:r>
    </w:p>
    <w:p>
      <w:pPr>
        <w:adjustRightInd w:val="0"/>
        <w:snapToGrid w:val="0"/>
        <w:spacing w:line="360" w:lineRule="exact"/>
        <w:ind w:firstLine="422" w:firstLineChars="200"/>
        <w:rPr>
          <w:rFonts w:ascii="仿宋" w:hAnsi="仿宋" w:eastAsia="仿宋" w:cs="仿宋"/>
          <w:b/>
          <w:bCs/>
          <w:kern w:val="0"/>
          <w:szCs w:val="21"/>
        </w:rPr>
      </w:pPr>
      <w:r>
        <w:rPr>
          <w:rFonts w:hint="eastAsia" w:ascii="仿宋" w:hAnsi="仿宋" w:eastAsia="仿宋" w:cs="仿宋"/>
          <w:b/>
          <w:bCs/>
          <w:kern w:val="0"/>
          <w:szCs w:val="21"/>
        </w:rPr>
        <w:t>（一）公共基础课程平台</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根据党和国家有关文件规定，加强课程思政，将中国特色社会主义、哲学与人生、职业道德与法制、心理健康与职业生涯、思想道德修养与法律基础、创业与就业教育列入公共基础德育必修课。此外，将中华优秀传统文化、安全与防范、形势与政策等也列入公共基础限选课；并将医用信息技术、化学、语文、英语、数学、卫生统计、艺术等列入公共文化必修课；医用物理、生物化学列入公共文化限选课。</w:t>
      </w:r>
    </w:p>
    <w:p>
      <w:pPr>
        <w:adjustRightInd w:val="0"/>
        <w:snapToGrid w:val="0"/>
        <w:spacing w:line="360" w:lineRule="exact"/>
        <w:ind w:firstLine="422" w:firstLineChars="200"/>
        <w:rPr>
          <w:rFonts w:ascii="仿宋" w:hAnsi="仿宋" w:eastAsia="仿宋" w:cs="仿宋"/>
          <w:b/>
          <w:bCs/>
          <w:kern w:val="0"/>
          <w:szCs w:val="21"/>
        </w:rPr>
      </w:pPr>
      <w:r>
        <w:rPr>
          <w:rFonts w:hint="eastAsia" w:ascii="仿宋" w:hAnsi="仿宋" w:eastAsia="仿宋" w:cs="仿宋"/>
          <w:b/>
          <w:bCs/>
          <w:kern w:val="0"/>
          <w:szCs w:val="21"/>
        </w:rPr>
        <w:t>（二）专业（技能）课程</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1.专业群课程平台</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主要指面向专业群开设的通用课程，是为了学好群内专业课程所必需开设的基础理论或实践课程，以“必需、够用”为度。设有以下6门：</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包括系统解剖学、生理学、病因病理学、诊断学基础、疾病概要、中医学基础。</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2.专业课程平台（包括集中专业实践课程）</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包括康复治疗技术核心岗位所需的专业方面的必修课程（包括集中实践课程），其中专业核心课程6门，专业课程8门，共14门。专业核心课程包括康复评定技术、运动治疗技术、物理因子治疗技术、作业治疗技术、言语治疗技术、临床康复治疗学；专业课程包括康复医学导论、人体发育学、运动学基础、影像学基础、传统康复治疗技术、社区康复、康复工程技术、康复心理学；集中实践课程包括岗位认知、康复评定实践能力、运动治疗技术实践能力、传统康复治疗技术实践能力、临床康复实践能力、进岗实习等。</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3.专业方向模块课程</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根据妇产康复、儿童康复和老年康复、社区康复不同的专业方向，设置专业方向课程。妇产康复方向模块课程包括妇产科学、妇产康复；儿童康复方向课程模块包括特殊儿童医学基础、特殊儿童康复；老年康复方向课程模块包括老年病学、老年健康与康复；社区康复方向模块课程包括社区康复、社区工作。</w:t>
      </w:r>
    </w:p>
    <w:p>
      <w:pPr>
        <w:adjustRightInd w:val="0"/>
        <w:snapToGrid w:val="0"/>
        <w:spacing w:line="360" w:lineRule="exact"/>
        <w:ind w:firstLine="422" w:firstLineChars="200"/>
        <w:rPr>
          <w:rFonts w:ascii="仿宋" w:hAnsi="仿宋" w:eastAsia="仿宋" w:cs="仿宋"/>
          <w:b/>
          <w:bCs/>
          <w:kern w:val="0"/>
          <w:szCs w:val="21"/>
        </w:rPr>
      </w:pPr>
      <w:r>
        <w:rPr>
          <w:rFonts w:hint="eastAsia" w:ascii="仿宋" w:hAnsi="仿宋" w:eastAsia="仿宋" w:cs="仿宋"/>
          <w:b/>
          <w:bCs/>
          <w:kern w:val="0"/>
          <w:szCs w:val="21"/>
        </w:rPr>
        <w:t>（三）选修课模块</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包括公共选修和专业拓展选修。公共选修包括人文科学、社会科学及中国文化等课程；专业拓展选修为提高学生专业素质而设立的具有专业特色、行业特点的课程，包括以疾病为单元的技能模块课程。</w:t>
      </w:r>
    </w:p>
    <w:p>
      <w:pPr>
        <w:adjustRightInd w:val="0"/>
        <w:snapToGrid w:val="0"/>
        <w:spacing w:line="360" w:lineRule="exact"/>
        <w:ind w:firstLine="422" w:firstLineChars="200"/>
        <w:rPr>
          <w:rFonts w:ascii="仿宋" w:hAnsi="仿宋" w:eastAsia="仿宋" w:cs="仿宋"/>
          <w:b/>
          <w:bCs/>
          <w:kern w:val="0"/>
          <w:szCs w:val="21"/>
        </w:rPr>
      </w:pPr>
      <w:r>
        <w:rPr>
          <w:rFonts w:hint="eastAsia" w:ascii="仿宋" w:hAnsi="仿宋" w:eastAsia="仿宋" w:cs="仿宋"/>
          <w:b/>
          <w:bCs/>
          <w:kern w:val="0"/>
          <w:szCs w:val="21"/>
        </w:rPr>
        <w:t>（四）素质拓展模块</w:t>
      </w:r>
    </w:p>
    <w:p>
      <w:pPr>
        <w:adjustRightInd w:val="0"/>
        <w:snapToGrid w:val="0"/>
        <w:spacing w:line="360" w:lineRule="exact"/>
        <w:ind w:firstLine="420" w:firstLineChars="200"/>
        <w:rPr>
          <w:rFonts w:ascii="仿宋" w:hAnsi="仿宋" w:eastAsia="仿宋" w:cs="仿宋"/>
          <w:b/>
          <w:szCs w:val="21"/>
        </w:rPr>
      </w:pPr>
      <w:r>
        <w:rPr>
          <w:rFonts w:hint="eastAsia" w:ascii="仿宋" w:hAnsi="仿宋" w:eastAsia="仿宋" w:cs="仿宋"/>
          <w:bCs/>
          <w:kern w:val="0"/>
          <w:szCs w:val="21"/>
        </w:rPr>
        <w:t>以培养学生创新精神、创业意识和创业能力为目标。包括技能大赛、社会实践、社团活动等。</w:t>
      </w:r>
    </w:p>
    <w:p>
      <w:pPr>
        <w:adjustRightInd w:val="0"/>
        <w:snapToGrid w:val="0"/>
        <w:spacing w:before="50" w:after="50" w:line="360" w:lineRule="exact"/>
        <w:ind w:firstLine="421"/>
        <w:rPr>
          <w:rFonts w:hint="eastAsia" w:ascii="仿宋" w:hAnsi="仿宋" w:eastAsia="仿宋" w:cs="仿宋"/>
          <w:b/>
          <w:szCs w:val="21"/>
        </w:rPr>
        <w:sectPr>
          <w:footerReference r:id="rId5" w:type="default"/>
          <w:pgSz w:w="11906" w:h="16838"/>
          <w:pgMar w:top="1440" w:right="1800" w:bottom="1440" w:left="1800" w:header="851" w:footer="992" w:gutter="0"/>
          <w:cols w:space="425" w:num="1"/>
          <w:docGrid w:type="lines" w:linePitch="312" w:charSpace="0"/>
        </w:sectPr>
      </w:pPr>
    </w:p>
    <w:p>
      <w:pPr>
        <w:adjustRightInd w:val="0"/>
        <w:snapToGrid w:val="0"/>
        <w:spacing w:before="50" w:after="50" w:line="360" w:lineRule="exact"/>
        <w:ind w:firstLine="421"/>
        <w:rPr>
          <w:rFonts w:ascii="仿宋" w:hAnsi="仿宋" w:eastAsia="仿宋" w:cs="仿宋"/>
          <w:b/>
          <w:szCs w:val="21"/>
        </w:rPr>
      </w:pPr>
      <w:r>
        <w:rPr>
          <w:rFonts w:hint="eastAsia" w:ascii="仿宋" w:hAnsi="仿宋" w:eastAsia="仿宋" w:cs="仿宋"/>
          <w:b/>
          <w:szCs w:val="21"/>
        </w:rPr>
        <w:t>（五）主要专业课程及内容要求</w:t>
      </w:r>
    </w:p>
    <w:p>
      <w:pPr>
        <w:adjustRightInd w:val="0"/>
        <w:snapToGrid w:val="0"/>
        <w:spacing w:before="50" w:after="50" w:line="360" w:lineRule="exact"/>
        <w:ind w:firstLine="421"/>
        <w:rPr>
          <w:rFonts w:ascii="仿宋" w:hAnsi="仿宋" w:eastAsia="仿宋" w:cs="仿宋"/>
          <w:b/>
          <w:szCs w:val="21"/>
        </w:rPr>
      </w:pPr>
      <w:r>
        <w:rPr>
          <w:rFonts w:hint="eastAsia" w:ascii="仿宋" w:hAnsi="仿宋" w:eastAsia="仿宋" w:cs="仿宋"/>
          <w:b/>
          <w:szCs w:val="21"/>
        </w:rPr>
        <w:t>1.主要课程</w:t>
      </w:r>
    </w:p>
    <w:tbl>
      <w:tblPr>
        <w:tblStyle w:val="5"/>
        <w:tblW w:w="93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417"/>
        <w:gridCol w:w="4536"/>
        <w:gridCol w:w="1134"/>
        <w:gridCol w:w="1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restart"/>
            <w:shd w:val="clear" w:color="auto" w:fill="auto"/>
            <w:vAlign w:val="center"/>
          </w:tcPr>
          <w:p>
            <w:pPr>
              <w:widowControl/>
              <w:jc w:val="center"/>
              <w:rPr>
                <w:rFonts w:ascii="仿宋" w:hAnsi="仿宋" w:eastAsia="仿宋" w:cs="仿宋"/>
                <w:b/>
                <w:bCs/>
                <w:color w:val="000000"/>
                <w:kern w:val="0"/>
                <w:szCs w:val="21"/>
              </w:rPr>
            </w:pPr>
            <w:r>
              <w:rPr>
                <w:rFonts w:hint="eastAsia" w:ascii="仿宋" w:hAnsi="仿宋" w:eastAsia="仿宋" w:cs="仿宋"/>
                <w:b/>
                <w:bCs/>
                <w:color w:val="000000"/>
                <w:kern w:val="0"/>
                <w:szCs w:val="21"/>
              </w:rPr>
              <w:t>序号</w:t>
            </w:r>
          </w:p>
        </w:tc>
        <w:tc>
          <w:tcPr>
            <w:tcW w:w="1417" w:type="dxa"/>
            <w:vMerge w:val="restart"/>
            <w:shd w:val="clear" w:color="auto" w:fill="auto"/>
            <w:vAlign w:val="center"/>
          </w:tcPr>
          <w:p>
            <w:pPr>
              <w:widowControl/>
              <w:jc w:val="center"/>
              <w:rPr>
                <w:rFonts w:ascii="仿宋" w:hAnsi="仿宋" w:eastAsia="仿宋" w:cs="仿宋"/>
                <w:b/>
                <w:bCs/>
                <w:color w:val="000000"/>
                <w:kern w:val="0"/>
                <w:szCs w:val="21"/>
              </w:rPr>
            </w:pPr>
            <w:r>
              <w:rPr>
                <w:rFonts w:hint="eastAsia" w:ascii="仿宋" w:hAnsi="仿宋" w:eastAsia="仿宋" w:cs="仿宋"/>
                <w:b/>
                <w:bCs/>
                <w:color w:val="000000"/>
                <w:kern w:val="0"/>
                <w:szCs w:val="21"/>
              </w:rPr>
              <w:t>课程</w:t>
            </w:r>
          </w:p>
          <w:p>
            <w:pPr>
              <w:jc w:val="center"/>
              <w:rPr>
                <w:rFonts w:ascii="仿宋" w:hAnsi="仿宋" w:eastAsia="仿宋" w:cs="仿宋"/>
                <w:b/>
                <w:bCs/>
                <w:color w:val="000000"/>
                <w:kern w:val="0"/>
                <w:szCs w:val="21"/>
              </w:rPr>
            </w:pPr>
            <w:r>
              <w:rPr>
                <w:rFonts w:hint="eastAsia" w:ascii="仿宋" w:hAnsi="仿宋" w:eastAsia="仿宋" w:cs="仿宋"/>
                <w:b/>
                <w:bCs/>
                <w:color w:val="000000"/>
                <w:kern w:val="0"/>
                <w:szCs w:val="21"/>
              </w:rPr>
              <w:t>（课时）</w:t>
            </w:r>
          </w:p>
        </w:tc>
        <w:tc>
          <w:tcPr>
            <w:tcW w:w="4536" w:type="dxa"/>
            <w:vMerge w:val="restart"/>
            <w:shd w:val="clear" w:color="auto" w:fill="auto"/>
          </w:tcPr>
          <w:p>
            <w:pPr>
              <w:widowControl/>
              <w:jc w:val="center"/>
              <w:rPr>
                <w:rFonts w:ascii="仿宋" w:hAnsi="仿宋" w:eastAsia="仿宋" w:cs="仿宋"/>
                <w:b/>
                <w:bCs/>
                <w:kern w:val="0"/>
                <w:szCs w:val="21"/>
              </w:rPr>
            </w:pPr>
            <w:r>
              <w:rPr>
                <w:rFonts w:hint="eastAsia" w:ascii="仿宋" w:hAnsi="仿宋" w:eastAsia="仿宋" w:cs="仿宋"/>
                <w:b/>
                <w:bCs/>
                <w:kern w:val="0"/>
                <w:szCs w:val="21"/>
              </w:rPr>
              <w:t>主要教学内容与要求</w:t>
            </w:r>
          </w:p>
        </w:tc>
        <w:tc>
          <w:tcPr>
            <w:tcW w:w="2728" w:type="dxa"/>
            <w:gridSpan w:val="2"/>
            <w:shd w:val="clear" w:color="auto" w:fill="auto"/>
          </w:tcPr>
          <w:p>
            <w:pPr>
              <w:widowControl/>
              <w:jc w:val="center"/>
              <w:rPr>
                <w:rFonts w:ascii="仿宋" w:hAnsi="仿宋" w:eastAsia="仿宋" w:cs="仿宋"/>
                <w:b/>
                <w:bCs/>
                <w:kern w:val="0"/>
                <w:szCs w:val="21"/>
                <w:highlight w:val="cyan"/>
              </w:rPr>
            </w:pPr>
            <w:r>
              <w:rPr>
                <w:rFonts w:hint="eastAsia" w:ascii="仿宋" w:hAnsi="仿宋" w:eastAsia="仿宋" w:cs="仿宋"/>
                <w:b/>
                <w:bCs/>
                <w:kern w:val="0"/>
                <w:szCs w:val="21"/>
              </w:rPr>
              <w:t>教学实施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0" w:type="dxa"/>
            <w:vMerge w:val="continue"/>
            <w:shd w:val="clear" w:color="auto" w:fill="auto"/>
            <w:vAlign w:val="center"/>
          </w:tcPr>
          <w:p>
            <w:pPr>
              <w:widowControl/>
              <w:jc w:val="left"/>
              <w:rPr>
                <w:rFonts w:ascii="仿宋" w:hAnsi="仿宋" w:eastAsia="仿宋" w:cs="仿宋"/>
                <w:b/>
                <w:bCs/>
                <w:color w:val="000000"/>
                <w:kern w:val="0"/>
                <w:szCs w:val="21"/>
              </w:rPr>
            </w:pPr>
          </w:p>
        </w:tc>
        <w:tc>
          <w:tcPr>
            <w:tcW w:w="1417" w:type="dxa"/>
            <w:vMerge w:val="continue"/>
            <w:shd w:val="clear" w:color="auto" w:fill="auto"/>
            <w:vAlign w:val="center"/>
          </w:tcPr>
          <w:p>
            <w:pPr>
              <w:widowControl/>
              <w:jc w:val="center"/>
              <w:rPr>
                <w:rFonts w:ascii="仿宋" w:hAnsi="仿宋" w:eastAsia="仿宋" w:cs="仿宋"/>
                <w:b/>
                <w:bCs/>
                <w:color w:val="000000"/>
                <w:kern w:val="0"/>
                <w:szCs w:val="21"/>
              </w:rPr>
            </w:pPr>
          </w:p>
        </w:tc>
        <w:tc>
          <w:tcPr>
            <w:tcW w:w="4536" w:type="dxa"/>
            <w:vMerge w:val="continue"/>
            <w:shd w:val="clear" w:color="auto" w:fill="auto"/>
            <w:vAlign w:val="center"/>
          </w:tcPr>
          <w:p>
            <w:pPr>
              <w:widowControl/>
              <w:jc w:val="left"/>
              <w:rPr>
                <w:rFonts w:ascii="仿宋" w:hAnsi="仿宋" w:eastAsia="仿宋" w:cs="仿宋"/>
                <w:b/>
                <w:bCs/>
                <w:color w:val="000000"/>
                <w:kern w:val="0"/>
                <w:szCs w:val="21"/>
              </w:rPr>
            </w:pPr>
          </w:p>
        </w:tc>
        <w:tc>
          <w:tcPr>
            <w:tcW w:w="1134" w:type="dxa"/>
            <w:shd w:val="clear" w:color="auto" w:fill="auto"/>
          </w:tcPr>
          <w:p>
            <w:pPr>
              <w:widowControl/>
              <w:jc w:val="center"/>
              <w:rPr>
                <w:rFonts w:ascii="仿宋" w:hAnsi="仿宋" w:eastAsia="仿宋" w:cs="仿宋"/>
                <w:b/>
                <w:bCs/>
                <w:kern w:val="0"/>
                <w:szCs w:val="21"/>
                <w:highlight w:val="cyan"/>
              </w:rPr>
            </w:pPr>
            <w:r>
              <w:rPr>
                <w:rFonts w:hint="eastAsia" w:ascii="仿宋" w:hAnsi="仿宋" w:eastAsia="仿宋" w:cs="仿宋"/>
                <w:b/>
                <w:bCs/>
                <w:kern w:val="0"/>
                <w:szCs w:val="21"/>
              </w:rPr>
              <w:t>教学方法</w:t>
            </w:r>
          </w:p>
        </w:tc>
        <w:tc>
          <w:tcPr>
            <w:tcW w:w="1594" w:type="dxa"/>
            <w:shd w:val="clear" w:color="auto" w:fill="auto"/>
          </w:tcPr>
          <w:p>
            <w:pPr>
              <w:widowControl/>
              <w:jc w:val="center"/>
              <w:rPr>
                <w:rFonts w:ascii="仿宋" w:hAnsi="仿宋" w:eastAsia="仿宋" w:cs="仿宋"/>
                <w:b/>
                <w:bCs/>
                <w:color w:val="000000"/>
                <w:kern w:val="0"/>
                <w:szCs w:val="21"/>
              </w:rPr>
            </w:pPr>
            <w:r>
              <w:rPr>
                <w:rFonts w:hint="eastAsia" w:ascii="仿宋" w:hAnsi="仿宋" w:eastAsia="仿宋" w:cs="仿宋"/>
                <w:b/>
                <w:bCs/>
                <w:color w:val="000000"/>
                <w:kern w:val="0"/>
                <w:szCs w:val="21"/>
              </w:rPr>
              <w:t>课程内容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1</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物理因子治疗技术（60）</w:t>
            </w:r>
          </w:p>
        </w:tc>
        <w:tc>
          <w:tcPr>
            <w:tcW w:w="4536" w:type="dxa"/>
            <w:vMerge w:val="restart"/>
            <w:shd w:val="clear" w:color="auto" w:fill="auto"/>
          </w:tcPr>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1.掌握各种物理因子（电疗、光疗、超声波、磁疗、水疗、温热）治疗仪器操作技术、治疗原理；</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2.掌握各种物理因子治疗的适应证、禁忌证；</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3.了解生物反馈疗法基本知识</w:t>
            </w:r>
          </w:p>
        </w:tc>
        <w:tc>
          <w:tcPr>
            <w:tcW w:w="1134" w:type="dxa"/>
            <w:vMerge w:val="restart"/>
            <w:shd w:val="clear" w:color="auto" w:fill="auto"/>
            <w:vAlign w:val="center"/>
          </w:tcPr>
          <w:p>
            <w:pPr>
              <w:widowControl/>
              <w:jc w:val="left"/>
              <w:rPr>
                <w:rFonts w:ascii="仿宋" w:hAnsi="仿宋" w:eastAsia="仿宋" w:cs="仿宋"/>
                <w:color w:val="000000"/>
                <w:kern w:val="0"/>
                <w:szCs w:val="21"/>
                <w:lang w:val="en-GB"/>
              </w:rPr>
            </w:pPr>
            <w:r>
              <w:rPr>
                <w:rFonts w:hint="eastAsia" w:ascii="仿宋" w:hAnsi="仿宋" w:eastAsia="仿宋" w:cs="仿宋"/>
                <w:color w:val="000000"/>
                <w:kern w:val="0"/>
                <w:szCs w:val="21"/>
                <w:lang w:val="en-GB"/>
              </w:rPr>
              <w:t>1.确立学生在学习中的主体地位，鼓励学生积极参与教学活动和教学实验,引导学生积极探索解决问题的途径和方法；</w:t>
            </w:r>
          </w:p>
          <w:p>
            <w:pPr>
              <w:widowControl/>
              <w:jc w:val="left"/>
              <w:rPr>
                <w:rFonts w:ascii="仿宋" w:hAnsi="仿宋" w:eastAsia="仿宋" w:cs="仿宋"/>
                <w:color w:val="000000"/>
                <w:kern w:val="0"/>
                <w:szCs w:val="21"/>
                <w:lang w:val="en-GB"/>
              </w:rPr>
            </w:pPr>
            <w:r>
              <w:rPr>
                <w:rFonts w:hint="eastAsia" w:ascii="仿宋" w:hAnsi="仿宋" w:eastAsia="仿宋" w:cs="仿宋"/>
                <w:color w:val="000000"/>
                <w:kern w:val="0"/>
                <w:szCs w:val="21"/>
                <w:lang w:val="en-GB"/>
              </w:rPr>
              <w:t>2.教学中应用多媒体课件展示图片和教学视频，提高学生的学习兴趣；3.教学中引导学生以人的心身整体健康为核心，康复治疗技能操作中突出“以人为本”理念，实验教学和临床见习中培养学生的医者仁爱之心，并有意识引导学生运用与患者沟通和健康宣教的技巧；</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lang w:val="en-GB"/>
              </w:rPr>
              <w:t>4.实施有效的学习评价。通过课堂提问、课后作业、理论考试、技能考核、病案分析等进行综合评价</w:t>
            </w:r>
          </w:p>
        </w:tc>
        <w:tc>
          <w:tcPr>
            <w:tcW w:w="1594" w:type="dxa"/>
            <w:vMerge w:val="restart"/>
            <w:shd w:val="clear" w:color="auto" w:fill="auto"/>
          </w:tcPr>
          <w:p>
            <w:pPr>
              <w:widowControl/>
              <w:rPr>
                <w:rFonts w:ascii="仿宋" w:hAnsi="仿宋" w:eastAsia="仿宋" w:cs="仿宋"/>
                <w:color w:val="000000"/>
                <w:kern w:val="0"/>
                <w:szCs w:val="21"/>
              </w:rPr>
            </w:pPr>
            <w:r>
              <w:rPr>
                <w:rFonts w:hint="eastAsia" w:ascii="仿宋" w:hAnsi="仿宋" w:eastAsia="仿宋" w:cs="仿宋"/>
                <w:color w:val="000000"/>
                <w:kern w:val="0"/>
                <w:szCs w:val="21"/>
              </w:rPr>
              <w:t>根据本校现有理疗仪种类结合临床资源开齐开全课程内容，达成教学要求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2</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运动治疗技术（154）</w:t>
            </w:r>
          </w:p>
        </w:tc>
        <w:tc>
          <w:tcPr>
            <w:tcW w:w="4536" w:type="dxa"/>
            <w:vMerge w:val="restart"/>
            <w:shd w:val="clear" w:color="auto" w:fill="auto"/>
          </w:tcPr>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1.掌握各类临床常用运动治疗技术的适用范围、应用原则、适应症与禁忌证;</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掌握各类临床常用运动治疗技术的原理与操作技能：各类临床常用运动治疗技术的原理与操作技能包括增加关节活动范围的训练、关节松动技术、牵伸训练、牵引技术、增强肌力的训练、增强肌耐力的训练、平衡与协调的训练、转移训练、神经生理学治疗技术、运动再学习技术;</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3.熟悉相关临床疾病的运动治疗技术：包括呼吸训练、有氧训练、放松训练、医疗体操;</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4.了解临床常见疾病康复中如何应用循证思维选择运动治疗技术</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tcPr>
          <w:p>
            <w:pPr>
              <w:widowControl/>
              <w:rPr>
                <w:rFonts w:ascii="仿宋" w:hAnsi="仿宋" w:eastAsia="仿宋" w:cs="仿宋"/>
                <w:color w:val="000000"/>
                <w:kern w:val="0"/>
                <w:szCs w:val="21"/>
              </w:rPr>
            </w:pPr>
            <w:r>
              <w:rPr>
                <w:rFonts w:hint="eastAsia" w:ascii="仿宋" w:hAnsi="仿宋" w:eastAsia="仿宋" w:cs="仿宋"/>
                <w:color w:val="000000"/>
                <w:kern w:val="0"/>
                <w:szCs w:val="21"/>
              </w:rPr>
              <w:t>教学重点落实在各类临床常用运动治疗技术的原理和操作技术方面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3</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作业治疗技术（64）</w:t>
            </w:r>
          </w:p>
        </w:tc>
        <w:tc>
          <w:tcPr>
            <w:tcW w:w="4536" w:type="dxa"/>
            <w:vMerge w:val="restart"/>
            <w:shd w:val="clear" w:color="auto" w:fill="auto"/>
          </w:tcPr>
          <w:p>
            <w:pPr>
              <w:widowControl/>
              <w:rPr>
                <w:rFonts w:ascii="仿宋" w:hAnsi="仿宋" w:eastAsia="仿宋" w:cs="仿宋"/>
                <w:color w:val="000000"/>
                <w:kern w:val="0"/>
                <w:szCs w:val="21"/>
              </w:rPr>
            </w:pPr>
            <w:r>
              <w:rPr>
                <w:rFonts w:hint="eastAsia" w:ascii="仿宋" w:hAnsi="仿宋" w:eastAsia="仿宋" w:cs="仿宋"/>
                <w:color w:val="000000"/>
                <w:kern w:val="0"/>
                <w:szCs w:val="21"/>
              </w:rPr>
              <w:t>1.作业治疗：包括作业分析、ADL 训练、模拟及实物训练、感知觉训练、职业能力分析、环境改造、辅助具制作与使用等；</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2.学会对相关功能进行评估;3.学会进行各种作业活动分析;4.能够制定作业治疗计划，熟练应用各种作业治疗技术;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5.了解作业外延服务</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tcPr>
          <w:p>
            <w:pPr>
              <w:widowControl/>
              <w:rPr>
                <w:rFonts w:ascii="仿宋" w:hAnsi="仿宋" w:eastAsia="仿宋" w:cs="仿宋"/>
                <w:color w:val="000000"/>
                <w:kern w:val="0"/>
                <w:szCs w:val="21"/>
              </w:rPr>
            </w:pPr>
            <w:r>
              <w:rPr>
                <w:rFonts w:hint="eastAsia" w:ascii="仿宋" w:hAnsi="仿宋" w:eastAsia="仿宋" w:cs="仿宋"/>
                <w:color w:val="000000"/>
                <w:kern w:val="0"/>
                <w:szCs w:val="21"/>
              </w:rPr>
              <w:t>作业分析、作业学习与应用、常见作业活动的种类、日常生活活动训练、作业治疗的临床应用和文体治疗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4</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言语治疗技术（32）</w:t>
            </w:r>
          </w:p>
        </w:tc>
        <w:tc>
          <w:tcPr>
            <w:tcW w:w="4536" w:type="dxa"/>
            <w:vMerge w:val="restart"/>
            <w:shd w:val="clear" w:color="auto" w:fill="auto"/>
          </w:tcPr>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1.熟悉语言障碍的定义、分类、评估方法和治疗原则;</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2.熟悉失认症、失用症的评定及训练方法;</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3.吞咽障碍:了解吞咽器官的解剖特点,熟悉吞咽功能评定的基本方法,学会吞咽训练的基本方法</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tcPr>
          <w:p>
            <w:pPr>
              <w:widowControl/>
              <w:rPr>
                <w:rFonts w:ascii="仿宋" w:hAnsi="仿宋" w:eastAsia="仿宋" w:cs="仿宋"/>
                <w:color w:val="000000"/>
                <w:kern w:val="0"/>
                <w:szCs w:val="21"/>
              </w:rPr>
            </w:pPr>
            <w:r>
              <w:rPr>
                <w:rFonts w:hint="eastAsia" w:ascii="仿宋" w:hAnsi="仿宋" w:eastAsia="仿宋" w:cs="仿宋"/>
                <w:color w:val="000000"/>
                <w:kern w:val="0"/>
                <w:szCs w:val="21"/>
              </w:rPr>
              <w:t>言语语言障碍治疗方法的应用和学生基本技能的培养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康复评定技术（116)</w:t>
            </w:r>
          </w:p>
        </w:tc>
        <w:tc>
          <w:tcPr>
            <w:tcW w:w="4536" w:type="dxa"/>
            <w:vMerge w:val="restart"/>
            <w:shd w:val="clear" w:color="auto" w:fill="auto"/>
          </w:tcPr>
          <w:p>
            <w:pPr>
              <w:widowControl/>
              <w:rPr>
                <w:rFonts w:ascii="仿宋" w:hAnsi="仿宋" w:eastAsia="仿宋" w:cs="仿宋"/>
                <w:color w:val="000000"/>
                <w:kern w:val="0"/>
                <w:szCs w:val="21"/>
              </w:rPr>
            </w:pPr>
            <w:r>
              <w:rPr>
                <w:rFonts w:hint="eastAsia" w:ascii="仿宋" w:hAnsi="仿宋" w:eastAsia="仿宋" w:cs="仿宋"/>
                <w:color w:val="000000"/>
                <w:kern w:val="0"/>
                <w:szCs w:val="21"/>
              </w:rPr>
              <w:t>1.掌握人体反射评定技术；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2.掌握人体形态评定技术；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3.掌握关节活动度评定技术；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4.掌握肌力评定、肌张力评定技术；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5.掌握平衡与协调评定、步态分析评定技术；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6.掌握感觉评定技术；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7.掌握神经电生理检查技术；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8.掌握心肺功能评定技术；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9.掌握环境评定 技术；</w:t>
            </w:r>
          </w:p>
          <w:p>
            <w:pPr>
              <w:widowControl/>
              <w:rPr>
                <w:rFonts w:ascii="仿宋" w:hAnsi="仿宋" w:eastAsia="仿宋" w:cs="仿宋"/>
                <w:color w:val="000000"/>
                <w:kern w:val="0"/>
                <w:szCs w:val="21"/>
              </w:rPr>
            </w:pPr>
            <w:r>
              <w:rPr>
                <w:rFonts w:hint="eastAsia" w:ascii="仿宋" w:hAnsi="仿宋" w:eastAsia="仿宋" w:cs="仿宋"/>
                <w:color w:val="000000"/>
                <w:kern w:val="0"/>
                <w:szCs w:val="21"/>
              </w:rPr>
              <w:t>10.掌握日常生活活动能力评定技术等</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tcPr>
          <w:p>
            <w:pPr>
              <w:widowControl/>
              <w:rPr>
                <w:rFonts w:ascii="仿宋" w:hAnsi="仿宋" w:eastAsia="仿宋" w:cs="仿宋"/>
                <w:color w:val="000000"/>
                <w:kern w:val="0"/>
                <w:szCs w:val="21"/>
              </w:rPr>
            </w:pPr>
            <w:r>
              <w:rPr>
                <w:rFonts w:hint="eastAsia" w:ascii="仿宋" w:hAnsi="仿宋" w:eastAsia="仿宋" w:cs="仿宋"/>
                <w:color w:val="000000"/>
                <w:kern w:val="0"/>
                <w:szCs w:val="21"/>
              </w:rPr>
              <w:t>注重学生康复评定技术的能力培养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5</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中医学基础传统康复治疗技术（64、90）</w:t>
            </w:r>
          </w:p>
        </w:tc>
        <w:tc>
          <w:tcPr>
            <w:tcW w:w="4536" w:type="dxa"/>
            <w:vMerge w:val="restart"/>
            <w:shd w:val="clear" w:color="auto" w:fill="auto"/>
          </w:tcPr>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1.掌握中医学的基本理论知识；</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2.熟悉中医辨证方法，能够根据患者的体质情况和疾病类型、性质等特点进行辨证与辨病；</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3.能够运用中医学的“治未病”防治原则进行养生宣教和指导；</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4.了解经络的循行和走向交接规律</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5.学会腧穴的取穴方法；</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6.掌握常用腧穴的定位和主治作用；</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7.了解常用的针刺方法；</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8.掌握各种推拿手法的操作要领以及常见疾病的手法治疗;</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9.熟练进行火罐疗法的操作；</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10.熟练进行刮痧疗法的操作</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建立中医学的“整体观念和辨证施治”思想，初步形成“天人合一”的观点，关注自然与疾病的关系；注重传统康复治疗技能的培养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6</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社区康复（36）</w:t>
            </w:r>
          </w:p>
        </w:tc>
        <w:tc>
          <w:tcPr>
            <w:tcW w:w="4536" w:type="dxa"/>
            <w:vMerge w:val="restart"/>
            <w:shd w:val="clear" w:color="auto" w:fill="auto"/>
          </w:tcPr>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1.社区康复需求与调研：了解统计学基础知识,学会使用各种康复调查表;</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2.社区残疾人管理：学会进行社区常见致残性疾病的宣教,具有一定的社区康复治疗的管理能力;</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3.具有利用社区资源对残障者进行身体、精神、教育、职业、社会生活等方面的康复训练的能力;</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4.指导社区康复环境改造：学会指导社区的无障碍设施建设,能对家庭环境改造进行指导;</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5.能够对家庭简单辅助器具的制作进行指导</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培养基层的社区康复工作能力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jc w:val="center"/>
        </w:trPr>
        <w:tc>
          <w:tcPr>
            <w:tcW w:w="710" w:type="dxa"/>
            <w:vMerge w:val="restart"/>
            <w:shd w:val="clear" w:color="auto" w:fill="auto"/>
            <w:vAlign w:val="center"/>
          </w:tcPr>
          <w:p>
            <w:pPr>
              <w:widowControl/>
              <w:jc w:val="both"/>
              <w:rPr>
                <w:rFonts w:ascii="仿宋" w:hAnsi="仿宋" w:eastAsia="仿宋" w:cs="仿宋"/>
                <w:color w:val="000000"/>
                <w:kern w:val="0"/>
                <w:szCs w:val="21"/>
              </w:rPr>
            </w:pPr>
            <w:r>
              <w:rPr>
                <w:rFonts w:hint="eastAsia" w:ascii="仿宋" w:hAnsi="仿宋" w:eastAsia="仿宋" w:cs="仿宋"/>
                <w:color w:val="000000"/>
                <w:kern w:val="0"/>
                <w:szCs w:val="21"/>
              </w:rPr>
              <w:t>7</w:t>
            </w:r>
          </w:p>
        </w:tc>
        <w:tc>
          <w:tcPr>
            <w:tcW w:w="1417" w:type="dxa"/>
            <w:vMerge w:val="restart"/>
            <w:shd w:val="clear" w:color="auto" w:fill="auto"/>
            <w:vAlign w:val="center"/>
          </w:tcPr>
          <w:p>
            <w:pPr>
              <w:widowControl/>
              <w:jc w:val="both"/>
              <w:rPr>
                <w:rFonts w:ascii="仿宋" w:hAnsi="仿宋" w:eastAsia="仿宋" w:cs="仿宋"/>
                <w:color w:val="000000"/>
                <w:kern w:val="0"/>
                <w:szCs w:val="21"/>
              </w:rPr>
            </w:pPr>
            <w:r>
              <w:rPr>
                <w:rFonts w:hint="eastAsia" w:ascii="仿宋" w:hAnsi="仿宋" w:eastAsia="仿宋" w:cs="仿宋"/>
                <w:color w:val="000000"/>
                <w:kern w:val="0"/>
                <w:szCs w:val="21"/>
              </w:rPr>
              <w:t>临床康复治疗学（96）</w:t>
            </w:r>
          </w:p>
        </w:tc>
        <w:tc>
          <w:tcPr>
            <w:tcW w:w="4536" w:type="dxa"/>
            <w:vMerge w:val="restart"/>
            <w:shd w:val="clear" w:color="auto" w:fill="auto"/>
            <w:vAlign w:val="center"/>
          </w:tcPr>
          <w:p>
            <w:pPr>
              <w:widowControl/>
              <w:jc w:val="both"/>
              <w:rPr>
                <w:rFonts w:ascii="仿宋" w:hAnsi="仿宋" w:eastAsia="仿宋" w:cs="仿宋"/>
                <w:color w:val="000000"/>
                <w:kern w:val="0"/>
                <w:szCs w:val="21"/>
              </w:rPr>
            </w:pPr>
            <w:r>
              <w:rPr>
                <w:rFonts w:hint="eastAsia" w:ascii="仿宋" w:hAnsi="仿宋" w:eastAsia="仿宋" w:cs="仿宋"/>
                <w:color w:val="000000"/>
                <w:kern w:val="0"/>
                <w:szCs w:val="21"/>
              </w:rPr>
              <w:t>常见疾病的康复：脑血管意外、颅脑损伤、脊髓损伤、脑性瘫痪、周围神经损伤、多发性神经根炎、老年痴呆、帕金森病、截肢后、骨折后、运动损伤、手外伤、骨关节病、关节置换手术后、颈椎病、肩周炎、腰椎间盘突出症、冠心病、高血压、慢性阻塞性肺病、 糖尿病、肥胖症、烧伤后、癌症等疾病的康复。具体要求如下：</w:t>
            </w:r>
          </w:p>
          <w:p>
            <w:pPr>
              <w:widowControl/>
              <w:jc w:val="both"/>
              <w:rPr>
                <w:rFonts w:ascii="仿宋" w:hAnsi="仿宋" w:eastAsia="仿宋" w:cs="仿宋"/>
                <w:color w:val="000000"/>
                <w:kern w:val="0"/>
                <w:szCs w:val="21"/>
              </w:rPr>
            </w:pPr>
            <w:r>
              <w:rPr>
                <w:rFonts w:hint="eastAsia" w:ascii="仿宋" w:hAnsi="仿宋" w:eastAsia="仿宋" w:cs="仿宋"/>
                <w:color w:val="000000"/>
                <w:kern w:val="0"/>
                <w:szCs w:val="21"/>
              </w:rPr>
              <w:t>1.了解各疾病临床诊断与治疗原则;</w:t>
            </w:r>
          </w:p>
          <w:p>
            <w:pPr>
              <w:widowControl/>
              <w:jc w:val="both"/>
              <w:rPr>
                <w:rFonts w:ascii="仿宋" w:hAnsi="仿宋" w:eastAsia="仿宋" w:cs="仿宋"/>
                <w:color w:val="000000"/>
                <w:kern w:val="0"/>
                <w:szCs w:val="21"/>
              </w:rPr>
            </w:pPr>
            <w:r>
              <w:rPr>
                <w:rFonts w:hint="eastAsia" w:ascii="仿宋" w:hAnsi="仿宋" w:eastAsia="仿宋" w:cs="仿宋"/>
                <w:color w:val="000000"/>
                <w:kern w:val="0"/>
                <w:szCs w:val="21"/>
              </w:rPr>
              <w:t>2.掌握各疾病康复评估、目标与治疗原则;</w:t>
            </w:r>
          </w:p>
          <w:p>
            <w:pPr>
              <w:widowControl/>
              <w:jc w:val="both"/>
              <w:rPr>
                <w:rFonts w:ascii="仿宋" w:hAnsi="仿宋" w:eastAsia="仿宋" w:cs="仿宋"/>
                <w:color w:val="000000"/>
                <w:kern w:val="0"/>
                <w:szCs w:val="21"/>
              </w:rPr>
            </w:pPr>
            <w:r>
              <w:rPr>
                <w:rFonts w:hint="eastAsia" w:ascii="仿宋" w:hAnsi="仿宋" w:eastAsia="仿宋" w:cs="仿宋"/>
                <w:color w:val="000000"/>
                <w:kern w:val="0"/>
                <w:szCs w:val="21"/>
              </w:rPr>
              <w:t>3.掌握各疾病继发功能障碍与康复的处理</w:t>
            </w:r>
          </w:p>
        </w:tc>
        <w:tc>
          <w:tcPr>
            <w:tcW w:w="1134" w:type="dxa"/>
            <w:vMerge w:val="continue"/>
            <w:shd w:val="clear" w:color="auto" w:fill="auto"/>
            <w:vAlign w:val="center"/>
          </w:tcPr>
          <w:p>
            <w:pPr>
              <w:widowControl/>
              <w:jc w:val="both"/>
              <w:rPr>
                <w:rFonts w:ascii="仿宋" w:hAnsi="仿宋" w:eastAsia="仿宋" w:cs="仿宋"/>
                <w:color w:val="000000"/>
                <w:kern w:val="0"/>
                <w:szCs w:val="21"/>
              </w:rPr>
            </w:pPr>
          </w:p>
        </w:tc>
        <w:tc>
          <w:tcPr>
            <w:tcW w:w="1594" w:type="dxa"/>
            <w:vMerge w:val="restart"/>
            <w:shd w:val="clear" w:color="auto" w:fill="auto"/>
            <w:vAlign w:val="center"/>
          </w:tcPr>
          <w:p>
            <w:pPr>
              <w:widowControl/>
              <w:jc w:val="both"/>
              <w:rPr>
                <w:rFonts w:ascii="仿宋" w:hAnsi="仿宋" w:eastAsia="仿宋" w:cs="仿宋"/>
                <w:color w:val="000000"/>
                <w:kern w:val="0"/>
                <w:szCs w:val="21"/>
              </w:rPr>
            </w:pPr>
            <w:r>
              <w:rPr>
                <w:rFonts w:hint="eastAsia" w:ascii="仿宋" w:hAnsi="仿宋" w:eastAsia="仿宋" w:cs="仿宋"/>
                <w:color w:val="000000"/>
                <w:kern w:val="0"/>
                <w:szCs w:val="21"/>
              </w:rPr>
              <w:t>注重临床疾病继发功能障碍的系统评估和康复治疗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8</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康复工程技术(72)</w:t>
            </w:r>
          </w:p>
        </w:tc>
        <w:tc>
          <w:tcPr>
            <w:tcW w:w="4536" w:type="dxa"/>
            <w:vMerge w:val="restart"/>
            <w:shd w:val="clear" w:color="auto" w:fill="auto"/>
            <w:vAlign w:val="center"/>
          </w:tcPr>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1.了解假肢矫形器发展现状,熟悉假肢矫形器的分类与特点,掌握各类矫形器的命名原则;</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2.掌握上、下肢假肢的工作原理和基本结构,熟悉假肢制作的材料和装配流程,了解假肢训练的基本方法;</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3.掌握简单的手、前臂、小腿低温板材支具的制作,熟悉各类矫形器的制作流程,了解各类矫形器的制作材料与制作原则;</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4.了解轮椅与助行器的特点与分类,熟悉轮椅与助行器的选择和保养,掌握轮椅和助行器使用的基本方法</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注重技术方法、工程方法或科学原理的系统应用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710"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10</w:t>
            </w:r>
          </w:p>
        </w:tc>
        <w:tc>
          <w:tcPr>
            <w:tcW w:w="1417" w:type="dxa"/>
            <w:vMerge w:val="restart"/>
            <w:shd w:val="clear" w:color="auto" w:fill="auto"/>
            <w:vAlign w:val="center"/>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康复心理学（64）</w:t>
            </w:r>
          </w:p>
        </w:tc>
        <w:tc>
          <w:tcPr>
            <w:tcW w:w="4536" w:type="dxa"/>
            <w:vMerge w:val="restart"/>
            <w:shd w:val="clear" w:color="auto" w:fill="auto"/>
          </w:tcPr>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1.心理学基础：了解心理活动的生理基础,了解心理卫生的基本常识;</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2.社会心理学：学会处理人际关系，有一定的人际沟通能力,了解社会因素以及爱情、婚姻与家庭有关的知识;</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3.发展心理学知识：了解儿童、成人、老年人心理发展的生物学基础;</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4.熟悉病、伤、残者常见的心理问题，具有调整患者心理状态和进行简单的康复心理治疗的能力;</w:t>
            </w:r>
          </w:p>
          <w:p>
            <w:pPr>
              <w:widowControl/>
              <w:jc w:val="left"/>
              <w:rPr>
                <w:rFonts w:ascii="仿宋" w:hAnsi="仿宋" w:eastAsia="仿宋" w:cs="仿宋"/>
                <w:color w:val="000000"/>
                <w:kern w:val="0"/>
                <w:szCs w:val="21"/>
              </w:rPr>
            </w:pPr>
            <w:r>
              <w:rPr>
                <w:rFonts w:hint="eastAsia" w:ascii="仿宋" w:hAnsi="仿宋" w:eastAsia="仿宋" w:cs="仿宋"/>
                <w:color w:val="000000"/>
                <w:kern w:val="0"/>
                <w:szCs w:val="21"/>
              </w:rPr>
              <w:t>5.了解心理测验在心理咨询中的应用</w:t>
            </w:r>
          </w:p>
        </w:tc>
        <w:tc>
          <w:tcPr>
            <w:tcW w:w="1134" w:type="dxa"/>
            <w:vMerge w:val="continue"/>
            <w:shd w:val="clear" w:color="auto" w:fill="auto"/>
            <w:vAlign w:val="center"/>
          </w:tcPr>
          <w:p>
            <w:pPr>
              <w:widowControl/>
              <w:jc w:val="left"/>
              <w:rPr>
                <w:rFonts w:ascii="仿宋" w:hAnsi="仿宋" w:eastAsia="仿宋" w:cs="仿宋"/>
                <w:color w:val="000000"/>
                <w:kern w:val="0"/>
                <w:szCs w:val="21"/>
              </w:rPr>
            </w:pPr>
          </w:p>
        </w:tc>
        <w:tc>
          <w:tcPr>
            <w:tcW w:w="1594" w:type="dxa"/>
            <w:vMerge w:val="restart"/>
            <w:shd w:val="clear" w:color="auto" w:fill="auto"/>
          </w:tcPr>
          <w:p>
            <w:pPr>
              <w:widowControl/>
              <w:jc w:val="center"/>
              <w:rPr>
                <w:rFonts w:ascii="仿宋" w:hAnsi="仿宋" w:eastAsia="仿宋" w:cs="仿宋"/>
                <w:color w:val="000000"/>
                <w:kern w:val="0"/>
                <w:szCs w:val="21"/>
              </w:rPr>
            </w:pPr>
            <w:r>
              <w:rPr>
                <w:rFonts w:hint="eastAsia" w:ascii="仿宋" w:hAnsi="仿宋" w:eastAsia="仿宋" w:cs="仿宋"/>
                <w:color w:val="000000"/>
                <w:kern w:val="0"/>
                <w:szCs w:val="21"/>
              </w:rPr>
              <w:t>夯实心理学基础知识，注重病伤残者常见心理问题的教学，教会学生进行简单的康复心理治疗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0" w:type="dxa"/>
            <w:vMerge w:val="continue"/>
            <w:vAlign w:val="center"/>
          </w:tcPr>
          <w:p>
            <w:pPr>
              <w:widowControl/>
              <w:jc w:val="left"/>
              <w:rPr>
                <w:rFonts w:ascii="仿宋" w:hAnsi="仿宋" w:eastAsia="仿宋" w:cs="仿宋"/>
                <w:color w:val="000000"/>
                <w:kern w:val="0"/>
                <w:szCs w:val="21"/>
              </w:rPr>
            </w:pPr>
          </w:p>
        </w:tc>
        <w:tc>
          <w:tcPr>
            <w:tcW w:w="1417" w:type="dxa"/>
            <w:vMerge w:val="continue"/>
            <w:vAlign w:val="center"/>
          </w:tcPr>
          <w:p>
            <w:pPr>
              <w:widowControl/>
              <w:jc w:val="left"/>
              <w:rPr>
                <w:rFonts w:ascii="仿宋" w:hAnsi="仿宋" w:eastAsia="仿宋" w:cs="仿宋"/>
                <w:color w:val="000000"/>
                <w:kern w:val="0"/>
                <w:szCs w:val="21"/>
              </w:rPr>
            </w:pPr>
          </w:p>
        </w:tc>
        <w:tc>
          <w:tcPr>
            <w:tcW w:w="4536" w:type="dxa"/>
            <w:vMerge w:val="continue"/>
            <w:vAlign w:val="center"/>
          </w:tcPr>
          <w:p>
            <w:pPr>
              <w:widowControl/>
              <w:jc w:val="left"/>
              <w:rPr>
                <w:rFonts w:ascii="仿宋" w:hAnsi="仿宋" w:eastAsia="仿宋" w:cs="仿宋"/>
                <w:color w:val="000000"/>
                <w:kern w:val="0"/>
                <w:szCs w:val="21"/>
              </w:rPr>
            </w:pPr>
          </w:p>
        </w:tc>
        <w:tc>
          <w:tcPr>
            <w:tcW w:w="1134" w:type="dxa"/>
            <w:vMerge w:val="continue"/>
            <w:vAlign w:val="center"/>
          </w:tcPr>
          <w:p>
            <w:pPr>
              <w:widowControl/>
              <w:jc w:val="left"/>
              <w:rPr>
                <w:rFonts w:ascii="仿宋" w:hAnsi="仿宋" w:eastAsia="仿宋" w:cs="仿宋"/>
                <w:color w:val="000000"/>
                <w:kern w:val="0"/>
                <w:szCs w:val="21"/>
              </w:rPr>
            </w:pPr>
          </w:p>
        </w:tc>
        <w:tc>
          <w:tcPr>
            <w:tcW w:w="1594" w:type="dxa"/>
            <w:vMerge w:val="continue"/>
            <w:vAlign w:val="center"/>
          </w:tcPr>
          <w:p>
            <w:pPr>
              <w:widowControl/>
              <w:jc w:val="left"/>
              <w:rPr>
                <w:rFonts w:ascii="仿宋" w:hAnsi="仿宋" w:eastAsia="仿宋" w:cs="仿宋"/>
                <w:color w:val="000000"/>
                <w:kern w:val="0"/>
                <w:szCs w:val="21"/>
              </w:rPr>
            </w:pPr>
          </w:p>
        </w:tc>
      </w:tr>
    </w:tbl>
    <w:p>
      <w:pPr>
        <w:adjustRightInd w:val="0"/>
        <w:snapToGrid w:val="0"/>
        <w:spacing w:line="360" w:lineRule="exact"/>
        <w:ind w:firstLine="420" w:firstLineChars="200"/>
        <w:rPr>
          <w:rFonts w:ascii="仿宋" w:hAnsi="仿宋" w:eastAsia="仿宋" w:cs="仿宋"/>
          <w:bCs/>
          <w:kern w:val="0"/>
          <w:szCs w:val="21"/>
        </w:rPr>
      </w:pP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2.实践性教学环节</w:t>
      </w:r>
    </w:p>
    <w:p>
      <w:pPr>
        <w:snapToGrid w:val="0"/>
        <w:spacing w:line="276" w:lineRule="auto"/>
        <w:ind w:firstLine="420" w:firstLineChars="200"/>
        <w:rPr>
          <w:rFonts w:ascii="仿宋" w:hAnsi="仿宋" w:eastAsia="仿宋" w:cs="仿宋"/>
          <w:bCs/>
          <w:color w:val="FF0000"/>
          <w:kern w:val="0"/>
          <w:szCs w:val="21"/>
        </w:rPr>
      </w:pPr>
      <w:r>
        <w:rPr>
          <w:rFonts w:hint="eastAsia" w:ascii="仿宋" w:hAnsi="仿宋" w:eastAsia="仿宋" w:cs="仿宋"/>
          <w:bCs/>
          <w:kern w:val="0"/>
          <w:szCs w:val="21"/>
        </w:rPr>
        <w:t>主要包括实验、实训、见习、实习、毕业设计、社会实践等。实验、实训在校内实验室、校内与校外实训基地、校院合作医院等开展完成；教学见习、进岗实习主要在三级综合医院康复科、康复医学中心、二级康复医院或康复项目设置完善的社区卫生服务中心完成，见习、实习的主要内容有物理治疗、作业治疗、言语治疗、传统康复治疗等，以及儿童康复、社区康复、康复工程等单元；短期的社区康复与实践活动由学校组织，在医院、社区及残联康复中心开展完成。严格执行《职业学校学生实习管理规定》（教职成{2016}3号）有关要求。</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3.选修课设置</w:t>
      </w:r>
    </w:p>
    <w:p>
      <w:pPr>
        <w:snapToGrid w:val="0"/>
        <w:spacing w:line="276" w:lineRule="auto"/>
        <w:ind w:firstLine="420" w:firstLineChars="200"/>
        <w:rPr>
          <w:rFonts w:ascii="仿宋" w:hAnsi="仿宋" w:eastAsia="仿宋" w:cs="仿宋"/>
          <w:bCs/>
          <w:kern w:val="0"/>
          <w:szCs w:val="21"/>
        </w:rPr>
      </w:pPr>
      <w:r>
        <w:rPr>
          <w:rFonts w:hint="eastAsia" w:ascii="仿宋" w:hAnsi="仿宋" w:eastAsia="仿宋" w:cs="仿宋"/>
          <w:bCs/>
          <w:kern w:val="0"/>
          <w:szCs w:val="21"/>
        </w:rPr>
        <w:t>德育课限选课：包括心理健康教育、形势与政策、安全与防护、中华优秀传统文化。</w:t>
      </w:r>
    </w:p>
    <w:p>
      <w:pPr>
        <w:snapToGrid w:val="0"/>
        <w:spacing w:line="276" w:lineRule="auto"/>
        <w:ind w:firstLine="420" w:firstLineChars="200"/>
        <w:rPr>
          <w:rFonts w:ascii="仿宋" w:hAnsi="仿宋" w:eastAsia="仿宋" w:cs="仿宋"/>
          <w:bCs/>
          <w:kern w:val="0"/>
          <w:szCs w:val="21"/>
        </w:rPr>
      </w:pPr>
      <w:r>
        <w:rPr>
          <w:rFonts w:hint="eastAsia" w:ascii="仿宋" w:hAnsi="仿宋" w:eastAsia="仿宋" w:cs="仿宋"/>
          <w:bCs/>
          <w:kern w:val="0"/>
          <w:szCs w:val="21"/>
        </w:rPr>
        <w:t>文化课限选课：物理、化学，在物理课程中增加医用物理内容。</w:t>
      </w:r>
    </w:p>
    <w:p>
      <w:pPr>
        <w:snapToGrid w:val="0"/>
        <w:spacing w:line="276" w:lineRule="auto"/>
        <w:ind w:firstLine="420" w:firstLineChars="200"/>
        <w:rPr>
          <w:rFonts w:ascii="仿宋" w:hAnsi="仿宋" w:eastAsia="仿宋" w:cs="仿宋"/>
          <w:bCs/>
          <w:color w:val="FF0000"/>
          <w:kern w:val="0"/>
          <w:szCs w:val="21"/>
        </w:rPr>
      </w:pPr>
      <w:r>
        <w:rPr>
          <w:rFonts w:hint="eastAsia" w:ascii="仿宋" w:hAnsi="仿宋" w:eastAsia="仿宋" w:cs="仿宋"/>
          <w:bCs/>
          <w:kern w:val="0"/>
          <w:szCs w:val="21"/>
        </w:rPr>
        <w:t>专业课限选课：依据专业方向，从专业方向课程中选择。</w:t>
      </w:r>
    </w:p>
    <w:p>
      <w:pPr>
        <w:snapToGrid w:val="0"/>
        <w:spacing w:line="276" w:lineRule="auto"/>
        <w:ind w:firstLine="420" w:firstLineChars="200"/>
        <w:rPr>
          <w:rFonts w:ascii="仿宋" w:hAnsi="仿宋" w:eastAsia="仿宋" w:cs="仿宋"/>
          <w:bCs/>
          <w:kern w:val="0"/>
          <w:szCs w:val="21"/>
        </w:rPr>
      </w:pPr>
      <w:r>
        <w:rPr>
          <w:rFonts w:hint="eastAsia" w:ascii="仿宋" w:hAnsi="仿宋" w:eastAsia="仿宋" w:cs="仿宋"/>
          <w:bCs/>
          <w:kern w:val="0"/>
          <w:szCs w:val="21"/>
        </w:rPr>
        <w:t>4.任意选修课的开设</w:t>
      </w:r>
    </w:p>
    <w:p>
      <w:pPr>
        <w:snapToGrid w:val="0"/>
        <w:spacing w:line="276" w:lineRule="auto"/>
        <w:ind w:firstLine="420" w:firstLineChars="200"/>
        <w:rPr>
          <w:rFonts w:ascii="仿宋" w:hAnsi="仿宋" w:eastAsia="仿宋" w:cs="仿宋"/>
          <w:bCs/>
          <w:color w:val="FF0000"/>
          <w:kern w:val="0"/>
          <w:szCs w:val="21"/>
        </w:rPr>
      </w:pPr>
      <w:r>
        <w:rPr>
          <w:rFonts w:hint="eastAsia" w:ascii="仿宋" w:hAnsi="仿宋" w:eastAsia="仿宋" w:cs="仿宋"/>
          <w:bCs/>
          <w:kern w:val="0"/>
          <w:szCs w:val="21"/>
        </w:rPr>
        <w:t>任选课程为人文类、专业技能类、社会实践类拓展模块。为体现办学特色和教学的规律性，人文类任选课程可以开设名著鉴赏、多元文化、书法、绘画、美学基础、插画艺术、应用文写作、文秘写作、演讲技巧、公共关系实物、趣味数学、太极拳、健美操等；专业技能类可以开设中医养生、慢病管理、老年心理学、医学美容、卫生保健、遗传与优生、营养与膳食、健康教育、卫生法规、市场营销等。社会实践类任选课程为暑期或寒假1周-2周的专业认知、专业调研、社区服务、专业技能实践等项目训练，提交实践活动报告。</w:t>
      </w:r>
    </w:p>
    <w:p>
      <w:pPr>
        <w:adjustRightInd w:val="0"/>
        <w:snapToGrid w:val="0"/>
        <w:spacing w:line="360" w:lineRule="exact"/>
        <w:ind w:firstLine="422" w:firstLineChars="200"/>
        <w:rPr>
          <w:rFonts w:ascii="仿宋" w:hAnsi="仿宋" w:eastAsia="仿宋" w:cs="仿宋"/>
          <w:b/>
          <w:szCs w:val="21"/>
        </w:rPr>
      </w:pPr>
      <w:r>
        <w:rPr>
          <w:rFonts w:hint="eastAsia" w:ascii="仿宋" w:hAnsi="仿宋" w:eastAsia="仿宋" w:cs="仿宋"/>
          <w:b/>
          <w:szCs w:val="21"/>
        </w:rPr>
        <w:t>七、教学进程总体安排</w:t>
      </w:r>
    </w:p>
    <w:p>
      <w:pPr>
        <w:adjustRightInd w:val="0"/>
        <w:snapToGrid w:val="0"/>
        <w:spacing w:line="360" w:lineRule="exact"/>
        <w:ind w:firstLine="422" w:firstLineChars="200"/>
        <w:rPr>
          <w:rFonts w:ascii="仿宋" w:hAnsi="仿宋" w:eastAsia="仿宋" w:cs="仿宋"/>
          <w:b/>
          <w:szCs w:val="21"/>
        </w:rPr>
      </w:pPr>
      <w:r>
        <w:rPr>
          <w:rFonts w:hint="eastAsia" w:ascii="仿宋" w:hAnsi="仿宋" w:eastAsia="仿宋" w:cs="仿宋"/>
          <w:b/>
          <w:szCs w:val="21"/>
        </w:rPr>
        <w:t>（一）学时安排</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公共课基础课为1778课时，专业技能课为2902课时，公共课基础课与专业课专业技能课的课时比例约为4：6，每16-18学时折算1学分。</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本着“以应用为目的，以必需、够用为度”，加强公共基础课程与专业课程的融合，强调公共基础课程为专业课程服务的理念，加大课程改革力度、开发校本人才培养方案。在思想政治课程中设有心理健康与职业生涯、职业道德与法制、思想道德修养与法律基础、中国特色社会主义、哲学与人生、创业与就业教育等内容；在语文课程中设有人际沟通、阅读等内容；在数学课程中涵盖数理统计内容；在英语课程中包含专业英语内容；在计算机应用基础课程中设医学文献检索等内容；在物理课程中设有医用物理等内容。</w:t>
      </w:r>
    </w:p>
    <w:p>
      <w:pPr>
        <w:adjustRightInd w:val="0"/>
        <w:snapToGrid w:val="0"/>
        <w:spacing w:line="360" w:lineRule="exact"/>
        <w:ind w:firstLine="420" w:firstLineChars="200"/>
        <w:rPr>
          <w:rFonts w:ascii="仿宋" w:hAnsi="仿宋" w:eastAsia="仿宋" w:cs="仿宋"/>
          <w:bCs/>
          <w:kern w:val="0"/>
          <w:szCs w:val="21"/>
        </w:rPr>
      </w:pPr>
      <w:r>
        <w:rPr>
          <w:rFonts w:hint="eastAsia" w:ascii="仿宋" w:hAnsi="仿宋" w:eastAsia="仿宋" w:cs="仿宋"/>
          <w:bCs/>
          <w:kern w:val="0"/>
          <w:szCs w:val="21"/>
        </w:rPr>
        <w:t>根据《职教20条》中强调的“促进产教融合校企‘双元’育人”精神，每学年安排专业技能实践。第一学期安排专业认知；第四、五、六、七学期安排专业技能实践活动；第九、十学期是为期一年的进岗实习。第十学期在完成毕业实习任务后，开展两周的毕业论文和毕业教育等活动，进岗实习时间为12个月。实践性教学学时占总学时数的50%以上。教学实践、见习学分按每周1学分计算；进岗实习按每周1学分计算。各类选修课程学时累计不少于总学时的10%。教学时间分配（按周分配）见表1。教学时间安排见附表。</w:t>
      </w:r>
    </w:p>
    <w:p>
      <w:pPr>
        <w:snapToGrid w:val="0"/>
        <w:spacing w:line="360" w:lineRule="exact"/>
        <w:ind w:firstLine="422" w:firstLineChars="200"/>
        <w:jc w:val="left"/>
        <w:rPr>
          <w:rFonts w:ascii="仿宋" w:hAnsi="仿宋" w:eastAsia="仿宋" w:cs="仿宋"/>
          <w:b/>
          <w:color w:val="000000"/>
          <w:szCs w:val="21"/>
        </w:rPr>
      </w:pPr>
      <w:r>
        <w:rPr>
          <w:rFonts w:hint="eastAsia" w:ascii="仿宋" w:hAnsi="仿宋" w:eastAsia="仿宋" w:cs="仿宋"/>
          <w:b/>
          <w:color w:val="000000"/>
          <w:szCs w:val="21"/>
        </w:rPr>
        <w:t xml:space="preserve">表1                     </w:t>
      </w:r>
      <w:r>
        <w:rPr>
          <w:rFonts w:hint="eastAsia" w:ascii="仿宋" w:hAnsi="仿宋" w:eastAsia="仿宋" w:cs="仿宋"/>
          <w:b/>
          <w:bCs/>
          <w:kern w:val="0"/>
          <w:szCs w:val="21"/>
        </w:rPr>
        <w:t>教学时间分配（按周分配）</w:t>
      </w:r>
    </w:p>
    <w:tbl>
      <w:tblPr>
        <w:tblStyle w:val="5"/>
        <w:tblW w:w="93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691"/>
        <w:gridCol w:w="738"/>
        <w:gridCol w:w="681"/>
        <w:gridCol w:w="1991"/>
        <w:gridCol w:w="514"/>
        <w:gridCol w:w="1236"/>
        <w:gridCol w:w="706"/>
        <w:gridCol w:w="929"/>
        <w:gridCol w:w="7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0" w:hRule="exact"/>
          <w:jc w:val="center"/>
        </w:trPr>
        <w:tc>
          <w:tcPr>
            <w:tcW w:w="1051" w:type="dxa"/>
            <w:vMerge w:val="restart"/>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 xml:space="preserve">                             学期</w:t>
            </w:r>
          </w:p>
        </w:tc>
        <w:tc>
          <w:tcPr>
            <w:tcW w:w="691" w:type="dxa"/>
            <w:vMerge w:val="restart"/>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学期周数</w:t>
            </w:r>
          </w:p>
        </w:tc>
        <w:tc>
          <w:tcPr>
            <w:tcW w:w="1419" w:type="dxa"/>
            <w:gridSpan w:val="2"/>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理论</w:t>
            </w:r>
          </w:p>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教学</w:t>
            </w:r>
          </w:p>
        </w:tc>
        <w:tc>
          <w:tcPr>
            <w:tcW w:w="4447" w:type="dxa"/>
            <w:gridSpan w:val="4"/>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实  践  教  学</w:t>
            </w:r>
          </w:p>
        </w:tc>
        <w:tc>
          <w:tcPr>
            <w:tcW w:w="929" w:type="dxa"/>
            <w:vMerge w:val="restart"/>
            <w:vAlign w:val="center"/>
          </w:tcPr>
          <w:p>
            <w:pPr>
              <w:adjustRightInd w:val="0"/>
              <w:snapToGrid w:val="0"/>
              <w:spacing w:line="360" w:lineRule="exact"/>
              <w:ind w:leftChars="-28" w:right="-124" w:rightChars="-59" w:hanging="58" w:hangingChars="28"/>
              <w:jc w:val="center"/>
              <w:rPr>
                <w:rFonts w:ascii="仿宋" w:hAnsi="仿宋" w:eastAsia="仿宋" w:cs="仿宋"/>
                <w:szCs w:val="21"/>
              </w:rPr>
            </w:pPr>
            <w:r>
              <w:rPr>
                <w:rFonts w:hint="eastAsia" w:ascii="仿宋" w:hAnsi="仿宋" w:eastAsia="仿宋" w:cs="仿宋"/>
                <w:szCs w:val="21"/>
              </w:rPr>
              <w:t>入学</w:t>
            </w:r>
          </w:p>
          <w:p>
            <w:pPr>
              <w:adjustRightInd w:val="0"/>
              <w:snapToGrid w:val="0"/>
              <w:spacing w:line="360" w:lineRule="exact"/>
              <w:ind w:leftChars="-28" w:right="-124" w:rightChars="-59" w:hanging="58" w:hangingChars="28"/>
              <w:jc w:val="center"/>
              <w:rPr>
                <w:rFonts w:ascii="仿宋" w:hAnsi="仿宋" w:eastAsia="仿宋" w:cs="仿宋"/>
                <w:szCs w:val="21"/>
              </w:rPr>
            </w:pPr>
            <w:r>
              <w:rPr>
                <w:rFonts w:hint="eastAsia" w:ascii="仿宋" w:hAnsi="仿宋" w:eastAsia="仿宋" w:cs="仿宋"/>
                <w:szCs w:val="21"/>
              </w:rPr>
              <w:t>教育</w:t>
            </w:r>
          </w:p>
          <w:p>
            <w:pPr>
              <w:adjustRightInd w:val="0"/>
              <w:snapToGrid w:val="0"/>
              <w:spacing w:line="360" w:lineRule="exact"/>
              <w:ind w:leftChars="-28" w:right="-124" w:rightChars="-59" w:hanging="58" w:hangingChars="28"/>
              <w:jc w:val="center"/>
              <w:rPr>
                <w:rFonts w:ascii="仿宋" w:hAnsi="仿宋" w:eastAsia="仿宋" w:cs="仿宋"/>
                <w:szCs w:val="21"/>
              </w:rPr>
            </w:pPr>
            <w:r>
              <w:rPr>
                <w:rFonts w:hint="eastAsia" w:ascii="仿宋" w:hAnsi="仿宋" w:eastAsia="仿宋" w:cs="仿宋"/>
                <w:szCs w:val="21"/>
              </w:rPr>
              <w:t>与</w:t>
            </w:r>
          </w:p>
          <w:p>
            <w:pPr>
              <w:adjustRightInd w:val="0"/>
              <w:snapToGrid w:val="0"/>
              <w:spacing w:line="360" w:lineRule="exact"/>
              <w:ind w:leftChars="-28" w:right="-124" w:rightChars="-59" w:hanging="58" w:hangingChars="28"/>
              <w:jc w:val="center"/>
              <w:rPr>
                <w:rFonts w:ascii="仿宋" w:hAnsi="仿宋" w:eastAsia="仿宋" w:cs="仿宋"/>
                <w:szCs w:val="21"/>
              </w:rPr>
            </w:pPr>
            <w:r>
              <w:rPr>
                <w:rFonts w:hint="eastAsia" w:ascii="仿宋" w:hAnsi="仿宋" w:eastAsia="仿宋" w:cs="仿宋"/>
                <w:szCs w:val="21"/>
              </w:rPr>
              <w:t>军训</w:t>
            </w:r>
          </w:p>
        </w:tc>
        <w:tc>
          <w:tcPr>
            <w:tcW w:w="777" w:type="dxa"/>
            <w:vMerge w:val="restart"/>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劳</w:t>
            </w:r>
          </w:p>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动/机</w:t>
            </w:r>
          </w:p>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动</w:t>
            </w:r>
          </w:p>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34" w:hRule="exact"/>
          <w:jc w:val="center"/>
        </w:trPr>
        <w:tc>
          <w:tcPr>
            <w:tcW w:w="1051" w:type="dxa"/>
            <w:vMerge w:val="continue"/>
            <w:vAlign w:val="center"/>
          </w:tcPr>
          <w:p>
            <w:pPr>
              <w:adjustRightInd w:val="0"/>
              <w:snapToGrid w:val="0"/>
              <w:spacing w:line="360" w:lineRule="exact"/>
              <w:jc w:val="center"/>
              <w:rPr>
                <w:rFonts w:ascii="仿宋" w:hAnsi="仿宋" w:eastAsia="仿宋" w:cs="仿宋"/>
                <w:szCs w:val="21"/>
              </w:rPr>
            </w:pPr>
          </w:p>
        </w:tc>
        <w:tc>
          <w:tcPr>
            <w:tcW w:w="691" w:type="dxa"/>
            <w:vMerge w:val="continue"/>
            <w:vAlign w:val="center"/>
          </w:tcPr>
          <w:p>
            <w:pPr>
              <w:adjustRightInd w:val="0"/>
              <w:snapToGrid w:val="0"/>
              <w:spacing w:line="360" w:lineRule="exact"/>
              <w:jc w:val="center"/>
              <w:rPr>
                <w:rFonts w:ascii="仿宋" w:hAnsi="仿宋" w:eastAsia="仿宋" w:cs="仿宋"/>
                <w:szCs w:val="21"/>
              </w:rPr>
            </w:pPr>
          </w:p>
        </w:tc>
        <w:tc>
          <w:tcPr>
            <w:tcW w:w="738" w:type="dxa"/>
            <w:vMerge w:val="restart"/>
            <w:vAlign w:val="center"/>
          </w:tcPr>
          <w:p>
            <w:pPr>
              <w:adjustRightInd w:val="0"/>
              <w:snapToGrid w:val="0"/>
              <w:spacing w:line="360" w:lineRule="exact"/>
              <w:ind w:left="-130" w:leftChars="-62" w:right="-92" w:rightChars="-44" w:firstLine="2"/>
              <w:jc w:val="center"/>
              <w:rPr>
                <w:rFonts w:ascii="仿宋" w:hAnsi="仿宋" w:eastAsia="仿宋" w:cs="仿宋"/>
                <w:szCs w:val="21"/>
              </w:rPr>
            </w:pPr>
            <w:r>
              <w:rPr>
                <w:rFonts w:hint="eastAsia" w:ascii="仿宋" w:hAnsi="仿宋" w:eastAsia="仿宋" w:cs="仿宋"/>
                <w:szCs w:val="21"/>
              </w:rPr>
              <w:t>授课</w:t>
            </w:r>
          </w:p>
          <w:p>
            <w:pPr>
              <w:adjustRightInd w:val="0"/>
              <w:snapToGrid w:val="0"/>
              <w:spacing w:line="360" w:lineRule="exact"/>
              <w:ind w:left="-130" w:leftChars="-62" w:right="-92" w:rightChars="-44" w:firstLine="2"/>
              <w:jc w:val="center"/>
              <w:rPr>
                <w:rFonts w:ascii="仿宋" w:hAnsi="仿宋" w:eastAsia="仿宋" w:cs="仿宋"/>
                <w:szCs w:val="21"/>
              </w:rPr>
            </w:pPr>
            <w:r>
              <w:rPr>
                <w:rFonts w:hint="eastAsia" w:ascii="仿宋" w:hAnsi="仿宋" w:eastAsia="仿宋" w:cs="仿宋"/>
                <w:szCs w:val="21"/>
              </w:rPr>
              <w:t>周数</w:t>
            </w:r>
          </w:p>
        </w:tc>
        <w:tc>
          <w:tcPr>
            <w:tcW w:w="681" w:type="dxa"/>
            <w:vMerge w:val="restart"/>
            <w:vAlign w:val="center"/>
          </w:tcPr>
          <w:p>
            <w:pPr>
              <w:adjustRightInd w:val="0"/>
              <w:snapToGrid w:val="0"/>
              <w:spacing w:line="360" w:lineRule="exact"/>
              <w:ind w:left="-126" w:leftChars="-60" w:firstLine="1"/>
              <w:jc w:val="center"/>
              <w:rPr>
                <w:rFonts w:ascii="仿宋" w:hAnsi="仿宋" w:eastAsia="仿宋" w:cs="仿宋"/>
                <w:szCs w:val="21"/>
              </w:rPr>
            </w:pPr>
            <w:r>
              <w:rPr>
                <w:rFonts w:hint="eastAsia" w:ascii="仿宋" w:hAnsi="仿宋" w:eastAsia="仿宋" w:cs="仿宋"/>
                <w:szCs w:val="21"/>
              </w:rPr>
              <w:t>考试周数</w:t>
            </w:r>
          </w:p>
        </w:tc>
        <w:tc>
          <w:tcPr>
            <w:tcW w:w="2505" w:type="dxa"/>
            <w:gridSpan w:val="2"/>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实践、实训、见习</w:t>
            </w:r>
          </w:p>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毕业设计</w:t>
            </w:r>
          </w:p>
        </w:tc>
        <w:tc>
          <w:tcPr>
            <w:tcW w:w="1942" w:type="dxa"/>
            <w:gridSpan w:val="2"/>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岗位认知（含入学实践教育）</w:t>
            </w:r>
          </w:p>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顶岗实习</w:t>
            </w:r>
          </w:p>
        </w:tc>
        <w:tc>
          <w:tcPr>
            <w:tcW w:w="929" w:type="dxa"/>
            <w:vMerge w:val="continue"/>
            <w:vAlign w:val="center"/>
          </w:tcPr>
          <w:p>
            <w:pPr>
              <w:adjustRightInd w:val="0"/>
              <w:snapToGrid w:val="0"/>
              <w:spacing w:line="360" w:lineRule="exact"/>
              <w:jc w:val="center"/>
              <w:rPr>
                <w:rFonts w:ascii="仿宋" w:hAnsi="仿宋" w:eastAsia="仿宋" w:cs="仿宋"/>
                <w:szCs w:val="21"/>
              </w:rPr>
            </w:pPr>
          </w:p>
        </w:tc>
        <w:tc>
          <w:tcPr>
            <w:tcW w:w="777" w:type="dxa"/>
            <w:vMerge w:val="continue"/>
            <w:vAlign w:val="center"/>
          </w:tcPr>
          <w:p>
            <w:pPr>
              <w:adjustRightInd w:val="0"/>
              <w:snapToGrid w:val="0"/>
              <w:spacing w:line="360" w:lineRule="exact"/>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Merge w:val="continue"/>
            <w:vAlign w:val="center"/>
          </w:tcPr>
          <w:p>
            <w:pPr>
              <w:adjustRightInd w:val="0"/>
              <w:snapToGrid w:val="0"/>
              <w:spacing w:line="360" w:lineRule="exact"/>
              <w:jc w:val="center"/>
              <w:rPr>
                <w:rFonts w:ascii="仿宋" w:hAnsi="仿宋" w:eastAsia="仿宋" w:cs="仿宋"/>
                <w:szCs w:val="21"/>
              </w:rPr>
            </w:pPr>
          </w:p>
        </w:tc>
        <w:tc>
          <w:tcPr>
            <w:tcW w:w="691" w:type="dxa"/>
            <w:vMerge w:val="continue"/>
            <w:vAlign w:val="center"/>
          </w:tcPr>
          <w:p>
            <w:pPr>
              <w:adjustRightInd w:val="0"/>
              <w:snapToGrid w:val="0"/>
              <w:spacing w:line="360" w:lineRule="exact"/>
              <w:jc w:val="center"/>
              <w:rPr>
                <w:rFonts w:ascii="仿宋" w:hAnsi="仿宋" w:eastAsia="仿宋" w:cs="仿宋"/>
                <w:szCs w:val="21"/>
              </w:rPr>
            </w:pPr>
          </w:p>
        </w:tc>
        <w:tc>
          <w:tcPr>
            <w:tcW w:w="738" w:type="dxa"/>
            <w:vMerge w:val="continue"/>
            <w:vAlign w:val="center"/>
          </w:tcPr>
          <w:p>
            <w:pPr>
              <w:adjustRightInd w:val="0"/>
              <w:snapToGrid w:val="0"/>
              <w:spacing w:line="360" w:lineRule="exact"/>
              <w:jc w:val="center"/>
              <w:rPr>
                <w:rFonts w:ascii="仿宋" w:hAnsi="仿宋" w:eastAsia="仿宋" w:cs="仿宋"/>
                <w:szCs w:val="21"/>
              </w:rPr>
            </w:pPr>
          </w:p>
        </w:tc>
        <w:tc>
          <w:tcPr>
            <w:tcW w:w="681" w:type="dxa"/>
            <w:vMerge w:val="continue"/>
            <w:vAlign w:val="center"/>
          </w:tcPr>
          <w:p>
            <w:pPr>
              <w:adjustRightInd w:val="0"/>
              <w:snapToGrid w:val="0"/>
              <w:spacing w:line="360" w:lineRule="exact"/>
              <w:jc w:val="center"/>
              <w:rPr>
                <w:rFonts w:ascii="仿宋" w:hAnsi="仿宋" w:eastAsia="仿宋" w:cs="仿宋"/>
                <w:szCs w:val="21"/>
              </w:rPr>
            </w:pPr>
          </w:p>
        </w:tc>
        <w:tc>
          <w:tcPr>
            <w:tcW w:w="199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内容</w:t>
            </w:r>
          </w:p>
        </w:tc>
        <w:tc>
          <w:tcPr>
            <w:tcW w:w="514" w:type="dxa"/>
            <w:vAlign w:val="center"/>
          </w:tcPr>
          <w:p>
            <w:pPr>
              <w:adjustRightInd w:val="0"/>
              <w:snapToGrid w:val="0"/>
              <w:spacing w:line="360" w:lineRule="exact"/>
              <w:ind w:leftChars="-60" w:right="-158" w:rightChars="-75" w:hanging="126" w:hangingChars="60"/>
              <w:jc w:val="center"/>
              <w:rPr>
                <w:rFonts w:ascii="仿宋" w:hAnsi="仿宋" w:eastAsia="仿宋" w:cs="仿宋"/>
                <w:szCs w:val="21"/>
              </w:rPr>
            </w:pPr>
            <w:r>
              <w:rPr>
                <w:rFonts w:hint="eastAsia" w:ascii="仿宋" w:hAnsi="仿宋" w:eastAsia="仿宋" w:cs="仿宋"/>
                <w:szCs w:val="21"/>
              </w:rPr>
              <w:t>周数</w:t>
            </w:r>
          </w:p>
        </w:tc>
        <w:tc>
          <w:tcPr>
            <w:tcW w:w="1236"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内容</w:t>
            </w:r>
          </w:p>
        </w:tc>
        <w:tc>
          <w:tcPr>
            <w:tcW w:w="706"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周数</w:t>
            </w:r>
          </w:p>
        </w:tc>
        <w:tc>
          <w:tcPr>
            <w:tcW w:w="929" w:type="dxa"/>
            <w:vMerge w:val="continue"/>
            <w:vAlign w:val="center"/>
          </w:tcPr>
          <w:p>
            <w:pPr>
              <w:adjustRightInd w:val="0"/>
              <w:snapToGrid w:val="0"/>
              <w:spacing w:line="360" w:lineRule="exact"/>
              <w:ind w:leftChars="-78" w:right="-124" w:rightChars="-59" w:hanging="163" w:hangingChars="78"/>
              <w:rPr>
                <w:rFonts w:ascii="仿宋" w:hAnsi="仿宋" w:eastAsia="仿宋" w:cs="仿宋"/>
                <w:szCs w:val="21"/>
              </w:rPr>
            </w:pPr>
          </w:p>
        </w:tc>
        <w:tc>
          <w:tcPr>
            <w:tcW w:w="777" w:type="dxa"/>
            <w:vMerge w:val="continue"/>
            <w:vAlign w:val="center"/>
          </w:tcPr>
          <w:p>
            <w:pPr>
              <w:adjustRightInd w:val="0"/>
              <w:snapToGrid w:val="0"/>
              <w:spacing w:line="360" w:lineRule="exact"/>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一</w:t>
            </w:r>
          </w:p>
        </w:tc>
        <w:tc>
          <w:tcPr>
            <w:tcW w:w="69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20</w:t>
            </w:r>
          </w:p>
        </w:tc>
        <w:tc>
          <w:tcPr>
            <w:tcW w:w="738"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15</w:t>
            </w:r>
          </w:p>
        </w:tc>
        <w:tc>
          <w:tcPr>
            <w:tcW w:w="68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w:t>
            </w:r>
          </w:p>
        </w:tc>
        <w:tc>
          <w:tcPr>
            <w:tcW w:w="1991" w:type="dxa"/>
            <w:vAlign w:val="center"/>
          </w:tcPr>
          <w:p>
            <w:pPr>
              <w:adjustRightInd w:val="0"/>
              <w:snapToGrid w:val="0"/>
              <w:spacing w:line="360" w:lineRule="exact"/>
              <w:jc w:val="center"/>
              <w:rPr>
                <w:rFonts w:ascii="仿宋" w:hAnsi="仿宋" w:eastAsia="仿宋" w:cs="仿宋"/>
                <w:szCs w:val="21"/>
              </w:rPr>
            </w:pPr>
          </w:p>
        </w:tc>
        <w:tc>
          <w:tcPr>
            <w:tcW w:w="514" w:type="dxa"/>
            <w:vAlign w:val="center"/>
          </w:tcPr>
          <w:p>
            <w:pPr>
              <w:adjustRightInd w:val="0"/>
              <w:snapToGrid w:val="0"/>
              <w:spacing w:line="360" w:lineRule="exact"/>
              <w:jc w:val="center"/>
              <w:rPr>
                <w:rFonts w:ascii="仿宋" w:hAnsi="仿宋" w:eastAsia="仿宋" w:cs="仿宋"/>
                <w:szCs w:val="21"/>
              </w:rPr>
            </w:pPr>
          </w:p>
        </w:tc>
        <w:tc>
          <w:tcPr>
            <w:tcW w:w="1236"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岗位认知</w:t>
            </w:r>
          </w:p>
        </w:tc>
        <w:tc>
          <w:tcPr>
            <w:tcW w:w="706"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w:t>
            </w:r>
          </w:p>
        </w:tc>
        <w:tc>
          <w:tcPr>
            <w:tcW w:w="929"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2</w:t>
            </w:r>
          </w:p>
        </w:tc>
        <w:tc>
          <w:tcPr>
            <w:tcW w:w="777"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二</w:t>
            </w:r>
          </w:p>
        </w:tc>
        <w:tc>
          <w:tcPr>
            <w:tcW w:w="69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20</w:t>
            </w:r>
          </w:p>
        </w:tc>
        <w:tc>
          <w:tcPr>
            <w:tcW w:w="738"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18</w:t>
            </w:r>
          </w:p>
        </w:tc>
        <w:tc>
          <w:tcPr>
            <w:tcW w:w="68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w:t>
            </w:r>
          </w:p>
        </w:tc>
        <w:tc>
          <w:tcPr>
            <w:tcW w:w="1991" w:type="dxa"/>
            <w:vAlign w:val="center"/>
          </w:tcPr>
          <w:p>
            <w:pPr>
              <w:adjustRightInd w:val="0"/>
              <w:snapToGrid w:val="0"/>
              <w:spacing w:line="360" w:lineRule="exact"/>
              <w:jc w:val="center"/>
              <w:rPr>
                <w:rFonts w:ascii="仿宋" w:hAnsi="仿宋" w:eastAsia="仿宋" w:cs="仿宋"/>
                <w:szCs w:val="21"/>
              </w:rPr>
            </w:pPr>
          </w:p>
        </w:tc>
        <w:tc>
          <w:tcPr>
            <w:tcW w:w="514" w:type="dxa"/>
            <w:vAlign w:val="center"/>
          </w:tcPr>
          <w:p>
            <w:pPr>
              <w:adjustRightInd w:val="0"/>
              <w:snapToGrid w:val="0"/>
              <w:spacing w:line="360" w:lineRule="exact"/>
              <w:jc w:val="center"/>
              <w:rPr>
                <w:rFonts w:ascii="仿宋" w:hAnsi="仿宋" w:eastAsia="仿宋" w:cs="仿宋"/>
                <w:szCs w:val="21"/>
              </w:rPr>
            </w:pPr>
          </w:p>
        </w:tc>
        <w:tc>
          <w:tcPr>
            <w:tcW w:w="1236" w:type="dxa"/>
            <w:vAlign w:val="center"/>
          </w:tcPr>
          <w:p>
            <w:pPr>
              <w:adjustRightInd w:val="0"/>
              <w:snapToGrid w:val="0"/>
              <w:spacing w:line="360" w:lineRule="exact"/>
              <w:jc w:val="center"/>
              <w:rPr>
                <w:rFonts w:ascii="仿宋" w:hAnsi="仿宋" w:eastAsia="仿宋" w:cs="仿宋"/>
                <w:szCs w:val="21"/>
              </w:rPr>
            </w:pPr>
          </w:p>
        </w:tc>
        <w:tc>
          <w:tcPr>
            <w:tcW w:w="706" w:type="dxa"/>
            <w:vAlign w:val="center"/>
          </w:tcPr>
          <w:p>
            <w:pPr>
              <w:adjustRightInd w:val="0"/>
              <w:snapToGrid w:val="0"/>
              <w:spacing w:line="360" w:lineRule="exact"/>
              <w:jc w:val="center"/>
              <w:rPr>
                <w:rFonts w:ascii="仿宋" w:hAnsi="仿宋" w:eastAsia="仿宋" w:cs="仿宋"/>
                <w:szCs w:val="21"/>
              </w:rPr>
            </w:pPr>
          </w:p>
        </w:tc>
        <w:tc>
          <w:tcPr>
            <w:tcW w:w="929" w:type="dxa"/>
            <w:vAlign w:val="center"/>
          </w:tcPr>
          <w:p>
            <w:pPr>
              <w:adjustRightInd w:val="0"/>
              <w:snapToGrid w:val="0"/>
              <w:spacing w:line="360" w:lineRule="exact"/>
              <w:jc w:val="center"/>
              <w:rPr>
                <w:rFonts w:ascii="仿宋" w:hAnsi="仿宋" w:eastAsia="仿宋" w:cs="仿宋"/>
                <w:szCs w:val="21"/>
              </w:rPr>
            </w:pPr>
          </w:p>
        </w:tc>
        <w:tc>
          <w:tcPr>
            <w:tcW w:w="777"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三</w:t>
            </w:r>
          </w:p>
        </w:tc>
        <w:tc>
          <w:tcPr>
            <w:tcW w:w="69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20</w:t>
            </w:r>
          </w:p>
        </w:tc>
        <w:tc>
          <w:tcPr>
            <w:tcW w:w="738"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18</w:t>
            </w:r>
          </w:p>
        </w:tc>
        <w:tc>
          <w:tcPr>
            <w:tcW w:w="681"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w:t>
            </w:r>
          </w:p>
        </w:tc>
        <w:tc>
          <w:tcPr>
            <w:tcW w:w="1991" w:type="dxa"/>
            <w:vAlign w:val="center"/>
          </w:tcPr>
          <w:p>
            <w:pPr>
              <w:adjustRightInd w:val="0"/>
              <w:snapToGrid w:val="0"/>
              <w:spacing w:line="360" w:lineRule="exact"/>
              <w:jc w:val="center"/>
              <w:rPr>
                <w:rFonts w:ascii="仿宋" w:hAnsi="仿宋" w:eastAsia="仿宋" w:cs="仿宋"/>
                <w:szCs w:val="21"/>
              </w:rPr>
            </w:pPr>
          </w:p>
        </w:tc>
        <w:tc>
          <w:tcPr>
            <w:tcW w:w="514" w:type="dxa"/>
            <w:vAlign w:val="center"/>
          </w:tcPr>
          <w:p>
            <w:pPr>
              <w:adjustRightInd w:val="0"/>
              <w:snapToGrid w:val="0"/>
              <w:spacing w:line="360" w:lineRule="exact"/>
              <w:jc w:val="center"/>
              <w:rPr>
                <w:rFonts w:ascii="仿宋" w:hAnsi="仿宋" w:eastAsia="仿宋" w:cs="仿宋"/>
                <w:szCs w:val="21"/>
              </w:rPr>
            </w:pPr>
          </w:p>
        </w:tc>
        <w:tc>
          <w:tcPr>
            <w:tcW w:w="1236" w:type="dxa"/>
            <w:vAlign w:val="center"/>
          </w:tcPr>
          <w:p>
            <w:pPr>
              <w:adjustRightInd w:val="0"/>
              <w:snapToGrid w:val="0"/>
              <w:spacing w:line="360" w:lineRule="exact"/>
              <w:jc w:val="center"/>
              <w:rPr>
                <w:rFonts w:ascii="仿宋" w:hAnsi="仿宋" w:eastAsia="仿宋" w:cs="仿宋"/>
                <w:szCs w:val="21"/>
              </w:rPr>
            </w:pPr>
          </w:p>
        </w:tc>
        <w:tc>
          <w:tcPr>
            <w:tcW w:w="706" w:type="dxa"/>
            <w:vAlign w:val="center"/>
          </w:tcPr>
          <w:p>
            <w:pPr>
              <w:adjustRightInd w:val="0"/>
              <w:snapToGrid w:val="0"/>
              <w:spacing w:line="360" w:lineRule="exact"/>
              <w:jc w:val="center"/>
              <w:rPr>
                <w:rFonts w:ascii="仿宋" w:hAnsi="仿宋" w:eastAsia="仿宋" w:cs="仿宋"/>
                <w:szCs w:val="21"/>
              </w:rPr>
            </w:pPr>
          </w:p>
        </w:tc>
        <w:tc>
          <w:tcPr>
            <w:tcW w:w="929" w:type="dxa"/>
            <w:vAlign w:val="center"/>
          </w:tcPr>
          <w:p>
            <w:pPr>
              <w:adjustRightInd w:val="0"/>
              <w:snapToGrid w:val="0"/>
              <w:spacing w:line="360" w:lineRule="exact"/>
              <w:jc w:val="center"/>
              <w:rPr>
                <w:rFonts w:ascii="仿宋" w:hAnsi="仿宋" w:eastAsia="仿宋" w:cs="仿宋"/>
                <w:szCs w:val="21"/>
              </w:rPr>
            </w:pPr>
          </w:p>
        </w:tc>
        <w:tc>
          <w:tcPr>
            <w:tcW w:w="777"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四</w:t>
            </w:r>
          </w:p>
        </w:tc>
        <w:tc>
          <w:tcPr>
            <w:tcW w:w="6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20</w:t>
            </w:r>
          </w:p>
        </w:tc>
        <w:tc>
          <w:tcPr>
            <w:tcW w:w="738"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16</w:t>
            </w:r>
          </w:p>
        </w:tc>
        <w:tc>
          <w:tcPr>
            <w:tcW w:w="68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c>
          <w:tcPr>
            <w:tcW w:w="19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教学实践、见习</w:t>
            </w:r>
          </w:p>
        </w:tc>
        <w:tc>
          <w:tcPr>
            <w:tcW w:w="514"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w:t>
            </w:r>
          </w:p>
        </w:tc>
        <w:tc>
          <w:tcPr>
            <w:tcW w:w="1236" w:type="dxa"/>
            <w:vAlign w:val="center"/>
          </w:tcPr>
          <w:p>
            <w:pPr>
              <w:adjustRightInd w:val="0"/>
              <w:snapToGrid w:val="0"/>
              <w:spacing w:line="360" w:lineRule="exact"/>
              <w:jc w:val="center"/>
              <w:rPr>
                <w:rFonts w:ascii="仿宋" w:hAnsi="仿宋" w:eastAsia="仿宋" w:cs="仿宋"/>
                <w:color w:val="000000"/>
                <w:szCs w:val="21"/>
              </w:rPr>
            </w:pPr>
          </w:p>
        </w:tc>
        <w:tc>
          <w:tcPr>
            <w:tcW w:w="706" w:type="dxa"/>
            <w:vAlign w:val="center"/>
          </w:tcPr>
          <w:p>
            <w:pPr>
              <w:adjustRightInd w:val="0"/>
              <w:snapToGrid w:val="0"/>
              <w:spacing w:line="360" w:lineRule="exact"/>
              <w:jc w:val="center"/>
              <w:rPr>
                <w:rFonts w:ascii="仿宋" w:hAnsi="仿宋" w:eastAsia="仿宋" w:cs="仿宋"/>
                <w:color w:val="000000"/>
                <w:szCs w:val="21"/>
              </w:rPr>
            </w:pPr>
          </w:p>
        </w:tc>
        <w:tc>
          <w:tcPr>
            <w:tcW w:w="929" w:type="dxa"/>
            <w:vAlign w:val="center"/>
          </w:tcPr>
          <w:p>
            <w:pPr>
              <w:adjustRightInd w:val="0"/>
              <w:snapToGrid w:val="0"/>
              <w:spacing w:line="360" w:lineRule="exact"/>
              <w:jc w:val="center"/>
              <w:rPr>
                <w:rFonts w:ascii="仿宋" w:hAnsi="仿宋" w:eastAsia="仿宋" w:cs="仿宋"/>
                <w:color w:val="000000"/>
                <w:szCs w:val="21"/>
              </w:rPr>
            </w:pPr>
          </w:p>
        </w:tc>
        <w:tc>
          <w:tcPr>
            <w:tcW w:w="777"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五</w:t>
            </w:r>
          </w:p>
        </w:tc>
        <w:tc>
          <w:tcPr>
            <w:tcW w:w="6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20</w:t>
            </w:r>
          </w:p>
        </w:tc>
        <w:tc>
          <w:tcPr>
            <w:tcW w:w="738"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16</w:t>
            </w:r>
          </w:p>
        </w:tc>
        <w:tc>
          <w:tcPr>
            <w:tcW w:w="68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c>
          <w:tcPr>
            <w:tcW w:w="19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教学实践、见习</w:t>
            </w:r>
          </w:p>
        </w:tc>
        <w:tc>
          <w:tcPr>
            <w:tcW w:w="514"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w:t>
            </w:r>
          </w:p>
        </w:tc>
        <w:tc>
          <w:tcPr>
            <w:tcW w:w="1236" w:type="dxa"/>
            <w:vAlign w:val="center"/>
          </w:tcPr>
          <w:p>
            <w:pPr>
              <w:adjustRightInd w:val="0"/>
              <w:snapToGrid w:val="0"/>
              <w:spacing w:line="360" w:lineRule="exact"/>
              <w:jc w:val="center"/>
              <w:rPr>
                <w:rFonts w:ascii="仿宋" w:hAnsi="仿宋" w:eastAsia="仿宋" w:cs="仿宋"/>
                <w:color w:val="000000"/>
                <w:szCs w:val="21"/>
              </w:rPr>
            </w:pPr>
          </w:p>
        </w:tc>
        <w:tc>
          <w:tcPr>
            <w:tcW w:w="706" w:type="dxa"/>
            <w:vAlign w:val="center"/>
          </w:tcPr>
          <w:p>
            <w:pPr>
              <w:adjustRightInd w:val="0"/>
              <w:snapToGrid w:val="0"/>
              <w:spacing w:line="360" w:lineRule="exact"/>
              <w:jc w:val="center"/>
              <w:rPr>
                <w:rFonts w:ascii="仿宋" w:hAnsi="仿宋" w:eastAsia="仿宋" w:cs="仿宋"/>
                <w:color w:val="000000"/>
                <w:szCs w:val="21"/>
              </w:rPr>
            </w:pPr>
          </w:p>
        </w:tc>
        <w:tc>
          <w:tcPr>
            <w:tcW w:w="929" w:type="dxa"/>
            <w:vAlign w:val="center"/>
          </w:tcPr>
          <w:p>
            <w:pPr>
              <w:adjustRightInd w:val="0"/>
              <w:snapToGrid w:val="0"/>
              <w:spacing w:line="360" w:lineRule="exact"/>
              <w:jc w:val="center"/>
              <w:rPr>
                <w:rFonts w:ascii="仿宋" w:hAnsi="仿宋" w:eastAsia="仿宋" w:cs="仿宋"/>
                <w:color w:val="000000"/>
                <w:szCs w:val="21"/>
              </w:rPr>
            </w:pPr>
          </w:p>
        </w:tc>
        <w:tc>
          <w:tcPr>
            <w:tcW w:w="777"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六</w:t>
            </w:r>
          </w:p>
        </w:tc>
        <w:tc>
          <w:tcPr>
            <w:tcW w:w="6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20</w:t>
            </w:r>
          </w:p>
        </w:tc>
        <w:tc>
          <w:tcPr>
            <w:tcW w:w="738"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15</w:t>
            </w:r>
          </w:p>
        </w:tc>
        <w:tc>
          <w:tcPr>
            <w:tcW w:w="68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c>
          <w:tcPr>
            <w:tcW w:w="19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教学实践、见习</w:t>
            </w:r>
          </w:p>
        </w:tc>
        <w:tc>
          <w:tcPr>
            <w:tcW w:w="514"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3</w:t>
            </w:r>
          </w:p>
        </w:tc>
        <w:tc>
          <w:tcPr>
            <w:tcW w:w="1236" w:type="dxa"/>
            <w:vAlign w:val="center"/>
          </w:tcPr>
          <w:p>
            <w:pPr>
              <w:adjustRightInd w:val="0"/>
              <w:snapToGrid w:val="0"/>
              <w:spacing w:line="360" w:lineRule="exact"/>
              <w:jc w:val="center"/>
              <w:rPr>
                <w:rFonts w:ascii="仿宋" w:hAnsi="仿宋" w:eastAsia="仿宋" w:cs="仿宋"/>
                <w:color w:val="000000"/>
                <w:szCs w:val="21"/>
              </w:rPr>
            </w:pPr>
          </w:p>
        </w:tc>
        <w:tc>
          <w:tcPr>
            <w:tcW w:w="706" w:type="dxa"/>
            <w:vAlign w:val="center"/>
          </w:tcPr>
          <w:p>
            <w:pPr>
              <w:adjustRightInd w:val="0"/>
              <w:snapToGrid w:val="0"/>
              <w:spacing w:line="360" w:lineRule="exact"/>
              <w:jc w:val="center"/>
              <w:rPr>
                <w:rFonts w:ascii="仿宋" w:hAnsi="仿宋" w:eastAsia="仿宋" w:cs="仿宋"/>
                <w:color w:val="000000"/>
                <w:szCs w:val="21"/>
              </w:rPr>
            </w:pPr>
          </w:p>
        </w:tc>
        <w:tc>
          <w:tcPr>
            <w:tcW w:w="929" w:type="dxa"/>
            <w:vAlign w:val="center"/>
          </w:tcPr>
          <w:p>
            <w:pPr>
              <w:adjustRightInd w:val="0"/>
              <w:snapToGrid w:val="0"/>
              <w:spacing w:line="360" w:lineRule="exact"/>
              <w:jc w:val="center"/>
              <w:rPr>
                <w:rFonts w:ascii="仿宋" w:hAnsi="仿宋" w:eastAsia="仿宋" w:cs="仿宋"/>
                <w:color w:val="000000"/>
                <w:szCs w:val="21"/>
              </w:rPr>
            </w:pPr>
          </w:p>
        </w:tc>
        <w:tc>
          <w:tcPr>
            <w:tcW w:w="777"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七</w:t>
            </w:r>
          </w:p>
        </w:tc>
        <w:tc>
          <w:tcPr>
            <w:tcW w:w="6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20</w:t>
            </w:r>
          </w:p>
        </w:tc>
        <w:tc>
          <w:tcPr>
            <w:tcW w:w="738"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16</w:t>
            </w:r>
          </w:p>
        </w:tc>
        <w:tc>
          <w:tcPr>
            <w:tcW w:w="68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c>
          <w:tcPr>
            <w:tcW w:w="1991" w:type="dxa"/>
            <w:vAlign w:val="center"/>
          </w:tcPr>
          <w:p>
            <w:pPr>
              <w:adjustRightInd w:val="0"/>
              <w:snapToGrid w:val="0"/>
              <w:spacing w:line="360" w:lineRule="exact"/>
              <w:ind w:firstLine="210" w:firstLineChars="100"/>
              <w:rPr>
                <w:rFonts w:ascii="仿宋" w:hAnsi="仿宋" w:eastAsia="仿宋" w:cs="仿宋"/>
                <w:color w:val="000000"/>
                <w:szCs w:val="21"/>
              </w:rPr>
            </w:pPr>
            <w:r>
              <w:rPr>
                <w:rFonts w:hint="eastAsia" w:ascii="仿宋" w:hAnsi="仿宋" w:eastAsia="仿宋" w:cs="仿宋"/>
                <w:color w:val="000000"/>
                <w:szCs w:val="21"/>
              </w:rPr>
              <w:t>教学实践、见习</w:t>
            </w:r>
          </w:p>
        </w:tc>
        <w:tc>
          <w:tcPr>
            <w:tcW w:w="514"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w:t>
            </w:r>
          </w:p>
        </w:tc>
        <w:tc>
          <w:tcPr>
            <w:tcW w:w="1236" w:type="dxa"/>
            <w:vAlign w:val="center"/>
          </w:tcPr>
          <w:p>
            <w:pPr>
              <w:adjustRightInd w:val="0"/>
              <w:snapToGrid w:val="0"/>
              <w:spacing w:line="360" w:lineRule="exact"/>
              <w:jc w:val="center"/>
              <w:rPr>
                <w:rFonts w:ascii="仿宋" w:hAnsi="仿宋" w:eastAsia="仿宋" w:cs="仿宋"/>
                <w:color w:val="000000"/>
                <w:szCs w:val="21"/>
              </w:rPr>
            </w:pPr>
          </w:p>
        </w:tc>
        <w:tc>
          <w:tcPr>
            <w:tcW w:w="706" w:type="dxa"/>
            <w:vAlign w:val="center"/>
          </w:tcPr>
          <w:p>
            <w:pPr>
              <w:adjustRightInd w:val="0"/>
              <w:snapToGrid w:val="0"/>
              <w:spacing w:line="360" w:lineRule="exact"/>
              <w:jc w:val="center"/>
              <w:rPr>
                <w:rFonts w:ascii="仿宋" w:hAnsi="仿宋" w:eastAsia="仿宋" w:cs="仿宋"/>
                <w:color w:val="000000"/>
                <w:szCs w:val="21"/>
              </w:rPr>
            </w:pPr>
          </w:p>
        </w:tc>
        <w:tc>
          <w:tcPr>
            <w:tcW w:w="929" w:type="dxa"/>
            <w:vAlign w:val="center"/>
          </w:tcPr>
          <w:p>
            <w:pPr>
              <w:adjustRightInd w:val="0"/>
              <w:snapToGrid w:val="0"/>
              <w:spacing w:line="360" w:lineRule="exact"/>
              <w:jc w:val="center"/>
              <w:rPr>
                <w:rFonts w:ascii="仿宋" w:hAnsi="仿宋" w:eastAsia="仿宋" w:cs="仿宋"/>
                <w:color w:val="000000"/>
                <w:szCs w:val="21"/>
              </w:rPr>
            </w:pPr>
          </w:p>
        </w:tc>
        <w:tc>
          <w:tcPr>
            <w:tcW w:w="777"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9" w:hRule="exact"/>
          <w:jc w:val="center"/>
        </w:trPr>
        <w:tc>
          <w:tcPr>
            <w:tcW w:w="105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八</w:t>
            </w:r>
          </w:p>
        </w:tc>
        <w:tc>
          <w:tcPr>
            <w:tcW w:w="6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20</w:t>
            </w:r>
          </w:p>
        </w:tc>
        <w:tc>
          <w:tcPr>
            <w:tcW w:w="738"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18</w:t>
            </w:r>
          </w:p>
        </w:tc>
        <w:tc>
          <w:tcPr>
            <w:tcW w:w="68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c>
          <w:tcPr>
            <w:tcW w:w="1991" w:type="dxa"/>
            <w:vAlign w:val="center"/>
          </w:tcPr>
          <w:p>
            <w:pPr>
              <w:adjustRightInd w:val="0"/>
              <w:snapToGrid w:val="0"/>
              <w:spacing w:line="360" w:lineRule="exact"/>
              <w:jc w:val="center"/>
              <w:rPr>
                <w:rFonts w:ascii="仿宋" w:hAnsi="仿宋" w:eastAsia="仿宋" w:cs="仿宋"/>
                <w:color w:val="000000"/>
                <w:szCs w:val="21"/>
              </w:rPr>
            </w:pPr>
          </w:p>
        </w:tc>
        <w:tc>
          <w:tcPr>
            <w:tcW w:w="514" w:type="dxa"/>
            <w:vAlign w:val="center"/>
          </w:tcPr>
          <w:p>
            <w:pPr>
              <w:adjustRightInd w:val="0"/>
              <w:snapToGrid w:val="0"/>
              <w:spacing w:line="360" w:lineRule="exact"/>
              <w:jc w:val="center"/>
              <w:rPr>
                <w:rFonts w:ascii="仿宋" w:hAnsi="仿宋" w:eastAsia="仿宋" w:cs="仿宋"/>
                <w:color w:val="000000"/>
                <w:szCs w:val="21"/>
              </w:rPr>
            </w:pPr>
          </w:p>
        </w:tc>
        <w:tc>
          <w:tcPr>
            <w:tcW w:w="1236" w:type="dxa"/>
            <w:vAlign w:val="center"/>
          </w:tcPr>
          <w:p>
            <w:pPr>
              <w:adjustRightInd w:val="0"/>
              <w:snapToGrid w:val="0"/>
              <w:spacing w:line="360" w:lineRule="exact"/>
              <w:jc w:val="center"/>
              <w:rPr>
                <w:rFonts w:ascii="仿宋" w:hAnsi="仿宋" w:eastAsia="仿宋" w:cs="仿宋"/>
                <w:color w:val="000000"/>
                <w:szCs w:val="21"/>
              </w:rPr>
            </w:pPr>
          </w:p>
        </w:tc>
        <w:tc>
          <w:tcPr>
            <w:tcW w:w="706" w:type="dxa"/>
            <w:vAlign w:val="center"/>
          </w:tcPr>
          <w:p>
            <w:pPr>
              <w:adjustRightInd w:val="0"/>
              <w:snapToGrid w:val="0"/>
              <w:spacing w:line="360" w:lineRule="exact"/>
              <w:jc w:val="center"/>
              <w:rPr>
                <w:rFonts w:ascii="仿宋" w:hAnsi="仿宋" w:eastAsia="仿宋" w:cs="仿宋"/>
                <w:color w:val="000000"/>
                <w:szCs w:val="21"/>
              </w:rPr>
            </w:pPr>
          </w:p>
        </w:tc>
        <w:tc>
          <w:tcPr>
            <w:tcW w:w="929" w:type="dxa"/>
            <w:vAlign w:val="center"/>
          </w:tcPr>
          <w:p>
            <w:pPr>
              <w:adjustRightInd w:val="0"/>
              <w:snapToGrid w:val="0"/>
              <w:spacing w:line="360" w:lineRule="exact"/>
              <w:jc w:val="center"/>
              <w:rPr>
                <w:rFonts w:ascii="仿宋" w:hAnsi="仿宋" w:eastAsia="仿宋" w:cs="仿宋"/>
                <w:color w:val="000000"/>
                <w:szCs w:val="21"/>
              </w:rPr>
            </w:pPr>
          </w:p>
        </w:tc>
        <w:tc>
          <w:tcPr>
            <w:tcW w:w="777"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3" w:hRule="exact"/>
          <w:jc w:val="center"/>
        </w:trPr>
        <w:tc>
          <w:tcPr>
            <w:tcW w:w="105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九</w:t>
            </w:r>
          </w:p>
        </w:tc>
        <w:tc>
          <w:tcPr>
            <w:tcW w:w="6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20</w:t>
            </w:r>
          </w:p>
        </w:tc>
        <w:tc>
          <w:tcPr>
            <w:tcW w:w="738" w:type="dxa"/>
            <w:vAlign w:val="center"/>
          </w:tcPr>
          <w:p>
            <w:pPr>
              <w:adjustRightInd w:val="0"/>
              <w:snapToGrid w:val="0"/>
              <w:spacing w:line="360" w:lineRule="exact"/>
              <w:jc w:val="center"/>
              <w:rPr>
                <w:rFonts w:ascii="仿宋" w:hAnsi="仿宋" w:eastAsia="仿宋" w:cs="仿宋"/>
                <w:color w:val="000000"/>
                <w:szCs w:val="21"/>
              </w:rPr>
            </w:pPr>
          </w:p>
        </w:tc>
        <w:tc>
          <w:tcPr>
            <w:tcW w:w="681" w:type="dxa"/>
            <w:vAlign w:val="center"/>
          </w:tcPr>
          <w:p>
            <w:pPr>
              <w:adjustRightInd w:val="0"/>
              <w:snapToGrid w:val="0"/>
              <w:spacing w:line="360" w:lineRule="exact"/>
              <w:jc w:val="center"/>
              <w:rPr>
                <w:rFonts w:ascii="仿宋" w:hAnsi="仿宋" w:eastAsia="仿宋" w:cs="仿宋"/>
                <w:color w:val="000000"/>
                <w:szCs w:val="21"/>
              </w:rPr>
            </w:pPr>
          </w:p>
        </w:tc>
        <w:tc>
          <w:tcPr>
            <w:tcW w:w="1991" w:type="dxa"/>
            <w:vAlign w:val="center"/>
          </w:tcPr>
          <w:p>
            <w:pPr>
              <w:adjustRightInd w:val="0"/>
              <w:snapToGrid w:val="0"/>
              <w:spacing w:line="360" w:lineRule="exact"/>
              <w:jc w:val="center"/>
              <w:rPr>
                <w:rFonts w:ascii="仿宋" w:hAnsi="仿宋" w:eastAsia="仿宋" w:cs="仿宋"/>
                <w:color w:val="000000"/>
                <w:szCs w:val="21"/>
              </w:rPr>
            </w:pPr>
          </w:p>
        </w:tc>
        <w:tc>
          <w:tcPr>
            <w:tcW w:w="514" w:type="dxa"/>
            <w:vAlign w:val="center"/>
          </w:tcPr>
          <w:p>
            <w:pPr>
              <w:adjustRightInd w:val="0"/>
              <w:snapToGrid w:val="0"/>
              <w:spacing w:line="360" w:lineRule="exact"/>
              <w:jc w:val="center"/>
              <w:rPr>
                <w:rFonts w:ascii="仿宋" w:hAnsi="仿宋" w:eastAsia="仿宋" w:cs="仿宋"/>
                <w:color w:val="000000"/>
                <w:szCs w:val="21"/>
              </w:rPr>
            </w:pPr>
          </w:p>
        </w:tc>
        <w:tc>
          <w:tcPr>
            <w:tcW w:w="1236"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进岗实习</w:t>
            </w:r>
          </w:p>
        </w:tc>
        <w:tc>
          <w:tcPr>
            <w:tcW w:w="706"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18</w:t>
            </w:r>
          </w:p>
        </w:tc>
        <w:tc>
          <w:tcPr>
            <w:tcW w:w="929" w:type="dxa"/>
            <w:vAlign w:val="center"/>
          </w:tcPr>
          <w:p>
            <w:pPr>
              <w:adjustRightInd w:val="0"/>
              <w:snapToGrid w:val="0"/>
              <w:spacing w:line="360" w:lineRule="exact"/>
              <w:jc w:val="center"/>
              <w:rPr>
                <w:rFonts w:ascii="仿宋" w:hAnsi="仿宋" w:eastAsia="仿宋" w:cs="仿宋"/>
                <w:color w:val="000000"/>
                <w:szCs w:val="21"/>
              </w:rPr>
            </w:pPr>
          </w:p>
        </w:tc>
        <w:tc>
          <w:tcPr>
            <w:tcW w:w="777"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Merge w:val="restart"/>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十</w:t>
            </w:r>
          </w:p>
        </w:tc>
        <w:tc>
          <w:tcPr>
            <w:tcW w:w="691" w:type="dxa"/>
            <w:vMerge w:val="restart"/>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20</w:t>
            </w:r>
          </w:p>
        </w:tc>
        <w:tc>
          <w:tcPr>
            <w:tcW w:w="738" w:type="dxa"/>
            <w:vMerge w:val="restart"/>
            <w:vAlign w:val="center"/>
          </w:tcPr>
          <w:p>
            <w:pPr>
              <w:adjustRightInd w:val="0"/>
              <w:snapToGrid w:val="0"/>
              <w:spacing w:line="360" w:lineRule="exact"/>
              <w:jc w:val="center"/>
              <w:rPr>
                <w:rFonts w:ascii="仿宋" w:hAnsi="仿宋" w:eastAsia="仿宋" w:cs="仿宋"/>
                <w:color w:val="000000"/>
                <w:szCs w:val="21"/>
              </w:rPr>
            </w:pPr>
          </w:p>
        </w:tc>
        <w:tc>
          <w:tcPr>
            <w:tcW w:w="681" w:type="dxa"/>
            <w:vMerge w:val="restart"/>
            <w:vAlign w:val="center"/>
          </w:tcPr>
          <w:p>
            <w:pPr>
              <w:adjustRightInd w:val="0"/>
              <w:snapToGrid w:val="0"/>
              <w:spacing w:line="360" w:lineRule="exact"/>
              <w:jc w:val="center"/>
              <w:rPr>
                <w:rFonts w:ascii="仿宋" w:hAnsi="仿宋" w:eastAsia="仿宋" w:cs="仿宋"/>
                <w:color w:val="000000"/>
                <w:szCs w:val="21"/>
              </w:rPr>
            </w:pPr>
          </w:p>
        </w:tc>
        <w:tc>
          <w:tcPr>
            <w:tcW w:w="19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毕业设计与论文</w:t>
            </w:r>
          </w:p>
        </w:tc>
        <w:tc>
          <w:tcPr>
            <w:tcW w:w="514"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c>
          <w:tcPr>
            <w:tcW w:w="1236" w:type="dxa"/>
            <w:vMerge w:val="restart"/>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进岗实习</w:t>
            </w:r>
          </w:p>
        </w:tc>
        <w:tc>
          <w:tcPr>
            <w:tcW w:w="706" w:type="dxa"/>
            <w:vMerge w:val="restart"/>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16</w:t>
            </w:r>
          </w:p>
        </w:tc>
        <w:tc>
          <w:tcPr>
            <w:tcW w:w="929" w:type="dxa"/>
            <w:vMerge w:val="restart"/>
            <w:vAlign w:val="center"/>
          </w:tcPr>
          <w:p>
            <w:pPr>
              <w:adjustRightInd w:val="0"/>
              <w:snapToGrid w:val="0"/>
              <w:spacing w:line="360" w:lineRule="exact"/>
              <w:jc w:val="center"/>
              <w:rPr>
                <w:rFonts w:ascii="仿宋" w:hAnsi="仿宋" w:eastAsia="仿宋" w:cs="仿宋"/>
                <w:color w:val="000000"/>
                <w:szCs w:val="21"/>
              </w:rPr>
            </w:pPr>
          </w:p>
        </w:tc>
        <w:tc>
          <w:tcPr>
            <w:tcW w:w="777" w:type="dxa"/>
            <w:vMerge w:val="restart"/>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9" w:hRule="exact"/>
          <w:jc w:val="center"/>
        </w:trPr>
        <w:tc>
          <w:tcPr>
            <w:tcW w:w="1051" w:type="dxa"/>
            <w:vMerge w:val="continue"/>
            <w:vAlign w:val="center"/>
          </w:tcPr>
          <w:p>
            <w:pPr>
              <w:adjustRightInd w:val="0"/>
              <w:snapToGrid w:val="0"/>
              <w:spacing w:line="360" w:lineRule="exact"/>
              <w:jc w:val="center"/>
              <w:rPr>
                <w:rFonts w:ascii="仿宋" w:hAnsi="仿宋" w:eastAsia="仿宋" w:cs="仿宋"/>
                <w:color w:val="000000"/>
                <w:szCs w:val="21"/>
              </w:rPr>
            </w:pPr>
          </w:p>
        </w:tc>
        <w:tc>
          <w:tcPr>
            <w:tcW w:w="691" w:type="dxa"/>
            <w:vMerge w:val="continue"/>
            <w:vAlign w:val="center"/>
          </w:tcPr>
          <w:p>
            <w:pPr>
              <w:adjustRightInd w:val="0"/>
              <w:snapToGrid w:val="0"/>
              <w:spacing w:line="360" w:lineRule="exact"/>
              <w:jc w:val="center"/>
              <w:rPr>
                <w:rFonts w:ascii="仿宋" w:hAnsi="仿宋" w:eastAsia="仿宋" w:cs="仿宋"/>
                <w:color w:val="000000"/>
                <w:szCs w:val="21"/>
              </w:rPr>
            </w:pPr>
          </w:p>
        </w:tc>
        <w:tc>
          <w:tcPr>
            <w:tcW w:w="738" w:type="dxa"/>
            <w:vMerge w:val="continue"/>
            <w:vAlign w:val="center"/>
          </w:tcPr>
          <w:p>
            <w:pPr>
              <w:adjustRightInd w:val="0"/>
              <w:snapToGrid w:val="0"/>
              <w:spacing w:line="360" w:lineRule="exact"/>
              <w:jc w:val="center"/>
              <w:rPr>
                <w:rFonts w:ascii="仿宋" w:hAnsi="仿宋" w:eastAsia="仿宋" w:cs="仿宋"/>
                <w:color w:val="000000"/>
                <w:szCs w:val="21"/>
              </w:rPr>
            </w:pPr>
          </w:p>
        </w:tc>
        <w:tc>
          <w:tcPr>
            <w:tcW w:w="681" w:type="dxa"/>
            <w:vMerge w:val="continue"/>
            <w:vAlign w:val="center"/>
          </w:tcPr>
          <w:p>
            <w:pPr>
              <w:adjustRightInd w:val="0"/>
              <w:snapToGrid w:val="0"/>
              <w:spacing w:line="360" w:lineRule="exact"/>
              <w:jc w:val="center"/>
              <w:rPr>
                <w:rFonts w:ascii="仿宋" w:hAnsi="仿宋" w:eastAsia="仿宋" w:cs="仿宋"/>
                <w:color w:val="000000"/>
                <w:szCs w:val="21"/>
              </w:rPr>
            </w:pPr>
          </w:p>
        </w:tc>
        <w:tc>
          <w:tcPr>
            <w:tcW w:w="199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毕业教育</w:t>
            </w:r>
          </w:p>
        </w:tc>
        <w:tc>
          <w:tcPr>
            <w:tcW w:w="514"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w:t>
            </w:r>
          </w:p>
        </w:tc>
        <w:tc>
          <w:tcPr>
            <w:tcW w:w="1236" w:type="dxa"/>
            <w:vMerge w:val="continue"/>
            <w:vAlign w:val="center"/>
          </w:tcPr>
          <w:p>
            <w:pPr>
              <w:adjustRightInd w:val="0"/>
              <w:snapToGrid w:val="0"/>
              <w:spacing w:line="360" w:lineRule="exact"/>
              <w:jc w:val="center"/>
              <w:rPr>
                <w:rFonts w:ascii="仿宋" w:hAnsi="仿宋" w:eastAsia="仿宋" w:cs="仿宋"/>
                <w:color w:val="000000"/>
                <w:szCs w:val="21"/>
              </w:rPr>
            </w:pPr>
          </w:p>
        </w:tc>
        <w:tc>
          <w:tcPr>
            <w:tcW w:w="706" w:type="dxa"/>
            <w:vMerge w:val="continue"/>
            <w:vAlign w:val="center"/>
          </w:tcPr>
          <w:p>
            <w:pPr>
              <w:adjustRightInd w:val="0"/>
              <w:snapToGrid w:val="0"/>
              <w:spacing w:line="360" w:lineRule="exact"/>
              <w:jc w:val="center"/>
              <w:rPr>
                <w:rFonts w:ascii="仿宋" w:hAnsi="仿宋" w:eastAsia="仿宋" w:cs="仿宋"/>
                <w:color w:val="000000"/>
                <w:szCs w:val="21"/>
              </w:rPr>
            </w:pPr>
          </w:p>
        </w:tc>
        <w:tc>
          <w:tcPr>
            <w:tcW w:w="929" w:type="dxa"/>
            <w:vMerge w:val="continue"/>
            <w:vAlign w:val="center"/>
          </w:tcPr>
          <w:p>
            <w:pPr>
              <w:adjustRightInd w:val="0"/>
              <w:snapToGrid w:val="0"/>
              <w:spacing w:line="360" w:lineRule="exact"/>
              <w:jc w:val="center"/>
              <w:rPr>
                <w:rFonts w:ascii="仿宋" w:hAnsi="仿宋" w:eastAsia="仿宋" w:cs="仿宋"/>
                <w:color w:val="000000"/>
                <w:szCs w:val="21"/>
              </w:rPr>
            </w:pPr>
          </w:p>
        </w:tc>
        <w:tc>
          <w:tcPr>
            <w:tcW w:w="777" w:type="dxa"/>
            <w:vMerge w:val="continue"/>
            <w:vAlign w:val="center"/>
          </w:tcPr>
          <w:p>
            <w:pPr>
              <w:adjustRightInd w:val="0"/>
              <w:snapToGrid w:val="0"/>
              <w:spacing w:line="360" w:lineRule="exact"/>
              <w:jc w:val="center"/>
              <w:rPr>
                <w:rFonts w:ascii="仿宋" w:hAnsi="仿宋" w:eastAsia="仿宋" w:cs="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051" w:type="dxa"/>
            <w:vAlign w:val="center"/>
          </w:tcPr>
          <w:p>
            <w:pPr>
              <w:adjustRightInd w:val="0"/>
              <w:snapToGrid w:val="0"/>
              <w:spacing w:line="360" w:lineRule="exact"/>
              <w:ind w:leftChars="-78" w:hanging="163" w:hangingChars="78"/>
              <w:jc w:val="center"/>
              <w:rPr>
                <w:rFonts w:ascii="仿宋" w:hAnsi="仿宋" w:eastAsia="仿宋" w:cs="仿宋"/>
                <w:color w:val="000000"/>
                <w:szCs w:val="21"/>
              </w:rPr>
            </w:pPr>
            <w:r>
              <w:rPr>
                <w:rFonts w:hint="eastAsia" w:ascii="仿宋" w:hAnsi="仿宋" w:eastAsia="仿宋" w:cs="仿宋"/>
                <w:color w:val="000000"/>
                <w:szCs w:val="21"/>
              </w:rPr>
              <w:t>合计</w:t>
            </w:r>
          </w:p>
        </w:tc>
        <w:tc>
          <w:tcPr>
            <w:tcW w:w="691" w:type="dxa"/>
            <w:vAlign w:val="center"/>
          </w:tcPr>
          <w:p>
            <w:pPr>
              <w:adjustRightInd w:val="0"/>
              <w:snapToGrid w:val="0"/>
              <w:spacing w:line="360" w:lineRule="exact"/>
              <w:ind w:leftChars="-78" w:hanging="163" w:hangingChars="78"/>
              <w:jc w:val="center"/>
              <w:rPr>
                <w:rFonts w:ascii="仿宋" w:hAnsi="仿宋" w:eastAsia="仿宋" w:cs="仿宋"/>
                <w:color w:val="000000"/>
                <w:szCs w:val="21"/>
              </w:rPr>
            </w:pPr>
            <w:r>
              <w:rPr>
                <w:rFonts w:hint="eastAsia" w:ascii="仿宋" w:hAnsi="仿宋" w:eastAsia="仿宋" w:cs="仿宋"/>
                <w:color w:val="000000"/>
                <w:szCs w:val="21"/>
              </w:rPr>
              <w:t>200</w:t>
            </w:r>
          </w:p>
        </w:tc>
        <w:tc>
          <w:tcPr>
            <w:tcW w:w="738"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132</w:t>
            </w:r>
          </w:p>
        </w:tc>
        <w:tc>
          <w:tcPr>
            <w:tcW w:w="681"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8</w:t>
            </w:r>
          </w:p>
        </w:tc>
        <w:tc>
          <w:tcPr>
            <w:tcW w:w="1991" w:type="dxa"/>
            <w:vAlign w:val="center"/>
          </w:tcPr>
          <w:p>
            <w:pPr>
              <w:adjustRightInd w:val="0"/>
              <w:snapToGrid w:val="0"/>
              <w:spacing w:line="360" w:lineRule="exact"/>
              <w:jc w:val="center"/>
              <w:rPr>
                <w:rFonts w:ascii="仿宋" w:hAnsi="仿宋" w:eastAsia="仿宋" w:cs="仿宋"/>
                <w:color w:val="000000"/>
                <w:szCs w:val="21"/>
              </w:rPr>
            </w:pPr>
          </w:p>
        </w:tc>
        <w:tc>
          <w:tcPr>
            <w:tcW w:w="514"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11</w:t>
            </w:r>
          </w:p>
        </w:tc>
        <w:tc>
          <w:tcPr>
            <w:tcW w:w="1236" w:type="dxa"/>
            <w:vAlign w:val="center"/>
          </w:tcPr>
          <w:p>
            <w:pPr>
              <w:adjustRightInd w:val="0"/>
              <w:snapToGrid w:val="0"/>
              <w:spacing w:line="360" w:lineRule="exact"/>
              <w:jc w:val="center"/>
              <w:rPr>
                <w:rFonts w:ascii="仿宋" w:hAnsi="仿宋" w:eastAsia="仿宋" w:cs="仿宋"/>
                <w:color w:val="000000"/>
                <w:szCs w:val="21"/>
              </w:rPr>
            </w:pPr>
          </w:p>
        </w:tc>
        <w:tc>
          <w:tcPr>
            <w:tcW w:w="706"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35</w:t>
            </w:r>
          </w:p>
        </w:tc>
        <w:tc>
          <w:tcPr>
            <w:tcW w:w="929"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2</w:t>
            </w:r>
          </w:p>
        </w:tc>
        <w:tc>
          <w:tcPr>
            <w:tcW w:w="777" w:type="dxa"/>
            <w:vAlign w:val="center"/>
          </w:tcPr>
          <w:p>
            <w:pPr>
              <w:adjustRightInd w:val="0"/>
              <w:snapToGrid w:val="0"/>
              <w:spacing w:line="360" w:lineRule="exact"/>
              <w:jc w:val="center"/>
              <w:rPr>
                <w:rFonts w:ascii="仿宋" w:hAnsi="仿宋" w:eastAsia="仿宋" w:cs="仿宋"/>
                <w:color w:val="000000"/>
                <w:szCs w:val="21"/>
              </w:rPr>
            </w:pPr>
            <w:r>
              <w:rPr>
                <w:rFonts w:hint="eastAsia" w:ascii="仿宋" w:hAnsi="仿宋" w:eastAsia="仿宋" w:cs="仿宋"/>
                <w:color w:val="000000"/>
                <w:szCs w:val="21"/>
              </w:rPr>
              <w:t>12</w:t>
            </w:r>
          </w:p>
        </w:tc>
      </w:tr>
    </w:tbl>
    <w:p>
      <w:pPr>
        <w:adjustRightInd w:val="0"/>
        <w:snapToGrid w:val="0"/>
        <w:spacing w:line="360" w:lineRule="exact"/>
        <w:ind w:firstLine="422" w:firstLineChars="200"/>
        <w:rPr>
          <w:rFonts w:ascii="仿宋" w:hAnsi="仿宋" w:eastAsia="仿宋" w:cs="仿宋"/>
          <w:b/>
          <w:szCs w:val="21"/>
        </w:rPr>
      </w:pPr>
      <w:r>
        <w:rPr>
          <w:rFonts w:hint="eastAsia" w:ascii="仿宋" w:hAnsi="仿宋" w:eastAsia="仿宋" w:cs="仿宋"/>
          <w:b/>
          <w:szCs w:val="21"/>
        </w:rPr>
        <w:t>八、实施保障</w:t>
      </w:r>
    </w:p>
    <w:p>
      <w:pPr>
        <w:snapToGrid w:val="0"/>
        <w:spacing w:line="276" w:lineRule="auto"/>
        <w:ind w:left="454"/>
        <w:rPr>
          <w:rFonts w:ascii="仿宋" w:hAnsi="仿宋" w:eastAsia="仿宋" w:cs="仿宋"/>
          <w:b/>
          <w:color w:val="000000"/>
          <w:szCs w:val="21"/>
        </w:rPr>
      </w:pPr>
      <w:r>
        <w:rPr>
          <w:rFonts w:hint="eastAsia" w:ascii="仿宋" w:hAnsi="仿宋" w:eastAsia="仿宋" w:cs="仿宋"/>
          <w:b/>
          <w:color w:val="000000"/>
          <w:szCs w:val="21"/>
        </w:rPr>
        <w:t>（一）师资队伍</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师资的培养以知识、能力、素质协调发展为原则，建立一支整体素质高、结构合理、业务过硬、具有实践能力和创新精神的“专兼结合”的“双师型”（同时具备理论教学和实践教学能力的教师）师资队伍。</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1.队伍结构</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师生比适宜，满足本专业教学工作的需要，专任专业教师数与本专业在籍学生数比不低于1:25，双师素质教师占专业教师比高于80%，专任教师队伍学历、职称、年龄，梯队结构合理。本科以上学历100%，研究生学历（或硕士以上学位）40%以上，高级职称30%以上。</w:t>
      </w:r>
    </w:p>
    <w:p>
      <w:pPr>
        <w:snapToGrid w:val="0"/>
        <w:spacing w:line="276" w:lineRule="auto"/>
        <w:ind w:left="454"/>
        <w:rPr>
          <w:rFonts w:ascii="仿宋" w:hAnsi="仿宋" w:eastAsia="仿宋" w:cs="仿宋"/>
          <w:color w:val="000000"/>
          <w:szCs w:val="21"/>
        </w:rPr>
      </w:pPr>
      <w:r>
        <w:rPr>
          <w:rFonts w:hint="eastAsia" w:ascii="仿宋" w:hAnsi="仿宋" w:eastAsia="仿宋" w:cs="仿宋"/>
          <w:color w:val="000000"/>
          <w:szCs w:val="21"/>
        </w:rPr>
        <w:t>2.专任教师</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具有高校教师资格，取得医师执业资格、康复治疗师职称资格或与所任专业相关的国家职业资格证书或专业技术职务；有理想信念、有道德情操、有扎实学识、有仁爱之心；具备认真履行教师岗位职责的能力和水平，遵守教师职业道德规范；具有中西医康复医学相关专业本科及以上学历；具有扎实的康复医学相关理论功底和实践能力；具有较强信息化教学能力，能够开展课程教学改革和科学研究；落实职业院校教师素质提高计划，每年至少一个月在企业或实训基地实训，落实教师5年一周期的全员轮训制度，即每五年累计不少于6个月的临床实践经历。从2019年起，专业教师原则上从具有3年以上企业工作经历并具有高职以上学历的人员中公开招聘，特殊高技能人才（含具有高级工以上职业资格人员）可适当放宽学历要求，2020年起基本不再从应届毕业生中招聘（职教20条）。</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3.专业带头人</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具有副高及以上职称，取得医师执业资格或康复治疗师职称资格或与所任专业相关的国家职业资格。能够较好地把握国内外康复医学行业、专业发展，能广泛联系行业企业，了解行业对康复专业人才的需求实际，教学设计、专业研究能力强，组织开展教科研工作能力强，在本区域或本领域具有一定的专业影响力。</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4.兼职教师</w:t>
      </w:r>
    </w:p>
    <w:p>
      <w:pPr>
        <w:adjustRightInd w:val="0"/>
        <w:snapToGrid w:val="0"/>
        <w:spacing w:line="360" w:lineRule="exact"/>
        <w:ind w:firstLine="420" w:firstLineChars="200"/>
        <w:rPr>
          <w:rFonts w:ascii="仿宋" w:hAnsi="仿宋" w:eastAsia="仿宋" w:cs="仿宋"/>
          <w:b/>
          <w:color w:val="FF0000"/>
          <w:szCs w:val="21"/>
        </w:rPr>
      </w:pPr>
      <w:r>
        <w:rPr>
          <w:rFonts w:hint="eastAsia" w:ascii="仿宋" w:hAnsi="仿宋" w:eastAsia="仿宋" w:cs="仿宋"/>
          <w:color w:val="000000"/>
          <w:szCs w:val="21"/>
        </w:rPr>
        <w:t>主要从医疗机构聘任，具备良好的思想政治素质、职业道德和工匠精神，热爱学生，为人师表，具有扎实的康复专业知识和丰富的康复医学临床工作经验，具有一定的专业教学经历和教学水平，有保证完成兼课任务所必需的时间，具有中级以上技术职称，其中40%以上具有高级职称，能承担专业课程教学、实习实训指导和学生职业发展规划指导等教学任务；兼职教师占专业教师比例10%～30%。</w:t>
      </w:r>
    </w:p>
    <w:p>
      <w:pPr>
        <w:snapToGrid w:val="0"/>
        <w:spacing w:line="276" w:lineRule="auto"/>
        <w:ind w:firstLine="422" w:firstLineChars="200"/>
        <w:rPr>
          <w:rFonts w:ascii="仿宋" w:hAnsi="仿宋" w:eastAsia="仿宋" w:cs="仿宋"/>
          <w:b/>
          <w:color w:val="000000"/>
          <w:szCs w:val="21"/>
        </w:rPr>
      </w:pPr>
      <w:r>
        <w:rPr>
          <w:rFonts w:hint="eastAsia" w:ascii="仿宋" w:hAnsi="仿宋" w:eastAsia="仿宋" w:cs="仿宋"/>
          <w:b/>
          <w:color w:val="000000"/>
          <w:szCs w:val="21"/>
        </w:rPr>
        <w:t>（二）教学实施</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主要包括能够满足正常的课程教学、实习实训所需的专业教室、实训室和实训基地。</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1.专业教室基本条件</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一般配备黑（白）板、多媒体计算机、投影设备、音响设备，互联网接入或WIFI环境，并具有网络安全防护措施。安装应急照明装置并保持良好状态，符合紧急疏散要求、标志明显、保持逃生通道畅通无阻。</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2.校内实训室基本要求</w:t>
      </w:r>
    </w:p>
    <w:p>
      <w:pPr>
        <w:snapToGrid w:val="0"/>
        <w:spacing w:line="360" w:lineRule="exact"/>
        <w:ind w:firstLine="420" w:firstLineChars="200"/>
        <w:rPr>
          <w:rFonts w:ascii="仿宋" w:hAnsi="仿宋" w:eastAsia="仿宋" w:cs="仿宋"/>
          <w:color w:val="000000"/>
          <w:szCs w:val="21"/>
        </w:rPr>
      </w:pPr>
      <w:r>
        <w:rPr>
          <w:rFonts w:hint="eastAsia" w:ascii="仿宋" w:hAnsi="仿宋" w:eastAsia="仿宋" w:cs="仿宋"/>
          <w:szCs w:val="21"/>
        </w:rPr>
        <w:t>按高等职业教育实验实训要求，建立与康复临床相一致、具有仿真职业环境的校内实训基地，按治疗功能进行设置，能够满足专业课程实验实训教学和科研需要。设置有康复功能评定室、运动治疗室、作业治疗室、物理因子治疗</w:t>
      </w:r>
      <w:r>
        <w:rPr>
          <w:rFonts w:hint="eastAsia" w:ascii="仿宋" w:hAnsi="仿宋" w:eastAsia="仿宋" w:cs="仿宋"/>
          <w:color w:val="000000"/>
          <w:szCs w:val="21"/>
        </w:rPr>
        <w:t>室、儿童康复治疗室、传统康复治疗室、言语治疗室、康复工程实训室等独立实验实训单元的康复实训室（见表3）。</w:t>
      </w:r>
    </w:p>
    <w:p>
      <w:pPr>
        <w:snapToGrid w:val="0"/>
        <w:spacing w:line="360" w:lineRule="exact"/>
        <w:ind w:firstLine="422" w:firstLineChars="200"/>
        <w:rPr>
          <w:rFonts w:hint="eastAsia" w:ascii="仿宋" w:hAnsi="仿宋" w:eastAsia="仿宋" w:cs="仿宋"/>
          <w:b/>
          <w:color w:val="000000"/>
          <w:szCs w:val="21"/>
        </w:rPr>
        <w:sectPr>
          <w:pgSz w:w="11906" w:h="16838"/>
          <w:pgMar w:top="1440" w:right="1800" w:bottom="1440" w:left="1800" w:header="851" w:footer="992" w:gutter="0"/>
          <w:cols w:space="425" w:num="1"/>
          <w:docGrid w:type="lines" w:linePitch="312" w:charSpace="0"/>
        </w:sectPr>
      </w:pPr>
    </w:p>
    <w:p>
      <w:pPr>
        <w:snapToGrid w:val="0"/>
        <w:spacing w:line="360" w:lineRule="exact"/>
        <w:ind w:firstLine="422" w:firstLineChars="200"/>
        <w:rPr>
          <w:rFonts w:ascii="仿宋" w:hAnsi="仿宋" w:eastAsia="仿宋" w:cs="仿宋"/>
          <w:color w:val="000000"/>
          <w:szCs w:val="21"/>
        </w:rPr>
      </w:pPr>
      <w:r>
        <w:rPr>
          <w:rFonts w:hint="eastAsia" w:ascii="仿宋" w:hAnsi="仿宋" w:eastAsia="仿宋" w:cs="仿宋"/>
          <w:b/>
          <w:color w:val="000000"/>
          <w:szCs w:val="21"/>
        </w:rPr>
        <w:t>表3                        校内</w:t>
      </w:r>
      <w:r>
        <w:rPr>
          <w:rFonts w:hint="eastAsia" w:ascii="仿宋" w:hAnsi="仿宋" w:eastAsia="仿宋" w:cs="仿宋"/>
          <w:b/>
          <w:bCs/>
          <w:kern w:val="0"/>
          <w:szCs w:val="21"/>
        </w:rPr>
        <w:t>实训室基本要求</w:t>
      </w:r>
    </w:p>
    <w:tbl>
      <w:tblPr>
        <w:tblStyle w:val="5"/>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40"/>
        <w:gridCol w:w="2520"/>
        <w:gridCol w:w="270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540" w:type="dxa"/>
            <w:vAlign w:val="center"/>
          </w:tcPr>
          <w:p>
            <w:pPr>
              <w:adjustRightInd w:val="0"/>
              <w:snapToGrid w:val="0"/>
              <w:spacing w:line="360" w:lineRule="exact"/>
              <w:rPr>
                <w:rFonts w:ascii="仿宋" w:hAnsi="仿宋" w:eastAsia="仿宋" w:cs="仿宋"/>
                <w:b/>
                <w:bCs/>
                <w:kern w:val="0"/>
                <w:szCs w:val="21"/>
              </w:rPr>
            </w:pPr>
            <w:r>
              <w:rPr>
                <w:rFonts w:hint="eastAsia" w:ascii="仿宋" w:hAnsi="仿宋" w:eastAsia="仿宋" w:cs="仿宋"/>
                <w:b/>
                <w:bCs/>
                <w:kern w:val="0"/>
                <w:szCs w:val="21"/>
              </w:rPr>
              <w:t>序号</w:t>
            </w:r>
          </w:p>
        </w:tc>
        <w:tc>
          <w:tcPr>
            <w:tcW w:w="1440" w:type="dxa"/>
            <w:vAlign w:val="center"/>
          </w:tcPr>
          <w:p>
            <w:pPr>
              <w:adjustRightInd w:val="0"/>
              <w:snapToGrid w:val="0"/>
              <w:spacing w:line="360" w:lineRule="exact"/>
              <w:rPr>
                <w:rFonts w:ascii="仿宋" w:hAnsi="仿宋" w:eastAsia="仿宋" w:cs="仿宋"/>
                <w:b/>
                <w:bCs/>
                <w:kern w:val="0"/>
                <w:szCs w:val="21"/>
              </w:rPr>
            </w:pPr>
            <w:r>
              <w:rPr>
                <w:rFonts w:hint="eastAsia" w:ascii="仿宋" w:hAnsi="仿宋" w:eastAsia="仿宋" w:cs="仿宋"/>
                <w:b/>
                <w:bCs/>
                <w:kern w:val="0"/>
                <w:szCs w:val="21"/>
              </w:rPr>
              <w:t>主要实训室</w:t>
            </w:r>
          </w:p>
        </w:tc>
        <w:tc>
          <w:tcPr>
            <w:tcW w:w="2520" w:type="dxa"/>
            <w:vAlign w:val="center"/>
          </w:tcPr>
          <w:p>
            <w:pPr>
              <w:adjustRightInd w:val="0"/>
              <w:snapToGrid w:val="0"/>
              <w:spacing w:line="360" w:lineRule="exact"/>
              <w:ind w:firstLine="426" w:firstLineChars="202"/>
              <w:rPr>
                <w:rFonts w:ascii="仿宋" w:hAnsi="仿宋" w:eastAsia="仿宋" w:cs="仿宋"/>
                <w:b/>
                <w:bCs/>
                <w:kern w:val="0"/>
                <w:szCs w:val="21"/>
              </w:rPr>
            </w:pPr>
            <w:r>
              <w:rPr>
                <w:rFonts w:hint="eastAsia" w:ascii="仿宋" w:hAnsi="仿宋" w:eastAsia="仿宋" w:cs="仿宋"/>
                <w:b/>
                <w:bCs/>
                <w:kern w:val="0"/>
                <w:szCs w:val="21"/>
              </w:rPr>
              <w:t>主要功能</w:t>
            </w:r>
          </w:p>
        </w:tc>
        <w:tc>
          <w:tcPr>
            <w:tcW w:w="2700" w:type="dxa"/>
            <w:vAlign w:val="center"/>
          </w:tcPr>
          <w:p>
            <w:pPr>
              <w:adjustRightInd w:val="0"/>
              <w:snapToGrid w:val="0"/>
              <w:spacing w:line="360" w:lineRule="exact"/>
              <w:ind w:firstLine="426" w:firstLineChars="202"/>
              <w:rPr>
                <w:rFonts w:ascii="仿宋" w:hAnsi="仿宋" w:eastAsia="仿宋" w:cs="仿宋"/>
                <w:b/>
                <w:bCs/>
                <w:kern w:val="0"/>
                <w:szCs w:val="21"/>
              </w:rPr>
            </w:pPr>
            <w:r>
              <w:rPr>
                <w:rFonts w:hint="eastAsia" w:ascii="仿宋" w:hAnsi="仿宋" w:eastAsia="仿宋" w:cs="仿宋"/>
                <w:b/>
                <w:bCs/>
                <w:kern w:val="0"/>
                <w:szCs w:val="21"/>
              </w:rPr>
              <w:t>主要仪器设备</w:t>
            </w:r>
          </w:p>
        </w:tc>
        <w:tc>
          <w:tcPr>
            <w:tcW w:w="1980" w:type="dxa"/>
            <w:vAlign w:val="center"/>
          </w:tcPr>
          <w:p>
            <w:pPr>
              <w:adjustRightInd w:val="0"/>
              <w:snapToGrid w:val="0"/>
              <w:spacing w:line="360" w:lineRule="exact"/>
              <w:ind w:firstLine="426" w:firstLineChars="202"/>
              <w:rPr>
                <w:rFonts w:ascii="仿宋" w:hAnsi="仿宋" w:eastAsia="仿宋" w:cs="仿宋"/>
                <w:b/>
                <w:bCs/>
                <w:kern w:val="0"/>
                <w:szCs w:val="21"/>
              </w:rPr>
            </w:pPr>
            <w:r>
              <w:rPr>
                <w:rFonts w:hint="eastAsia" w:ascii="仿宋" w:hAnsi="仿宋" w:eastAsia="仿宋" w:cs="仿宋"/>
                <w:b/>
                <w:bCs/>
                <w:kern w:val="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40" w:type="dxa"/>
            <w:vAlign w:val="center"/>
          </w:tcPr>
          <w:p>
            <w:pPr>
              <w:adjustRightInd w:val="0"/>
              <w:snapToGrid w:val="0"/>
              <w:spacing w:line="360" w:lineRule="exact"/>
              <w:ind w:firstLine="426" w:firstLineChars="202"/>
              <w:jc w:val="left"/>
              <w:rPr>
                <w:rFonts w:ascii="仿宋" w:hAnsi="仿宋" w:eastAsia="仿宋" w:cs="仿宋"/>
                <w:bCs/>
                <w:kern w:val="0"/>
                <w:szCs w:val="21"/>
              </w:rPr>
            </w:pPr>
            <w:r>
              <w:rPr>
                <w:rFonts w:hint="eastAsia" w:ascii="仿宋" w:hAnsi="仿宋" w:eastAsia="仿宋" w:cs="仿宋"/>
                <w:b/>
                <w:bCs/>
                <w:kern w:val="0"/>
                <w:szCs w:val="21"/>
              </w:rPr>
              <w:t>号</w:t>
            </w:r>
            <w:r>
              <w:rPr>
                <w:rFonts w:hint="eastAsia" w:ascii="仿宋" w:hAnsi="仿宋" w:eastAsia="仿宋" w:cs="仿宋"/>
                <w:bCs/>
                <w:kern w:val="0"/>
                <w:szCs w:val="21"/>
              </w:rPr>
              <w:t>1</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解剖学实训室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人体各系统的基本组成、人体的重要骨性标志与肌性标志、全身各系统主要器官的位置和结构、人体基本组织与人体胚胎的解剖结构。用于解剖学、康复评定技术、运动治疗技术、作业治疗技术、常见疾病康复等课程的教学与实训</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人体全身模型、人体全身骨骼模型、人体全身肌肉模型、神经系统模型、脊柱模型与解剖图谱、各类关节模型与解剖图谱、3D解剖软件、婴儿模型</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各类全身模型1套；各个系统模型1套／4人组；图谱、教学软件1套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8" w:hRule="atLeast"/>
        </w:trPr>
        <w:tc>
          <w:tcPr>
            <w:tcW w:w="540" w:type="dxa"/>
            <w:vAlign w:val="center"/>
          </w:tcPr>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2</w:t>
            </w:r>
          </w:p>
          <w:p>
            <w:pPr>
              <w:rPr>
                <w:rFonts w:ascii="仿宋" w:hAnsi="仿宋" w:eastAsia="仿宋" w:cs="仿宋"/>
                <w:szCs w:val="21"/>
              </w:rPr>
            </w:pPr>
            <w:r>
              <w:rPr>
                <w:rFonts w:hint="eastAsia" w:ascii="仿宋" w:hAnsi="仿宋" w:eastAsia="仿宋" w:cs="仿宋"/>
                <w:szCs w:val="21"/>
              </w:rPr>
              <w:t>2</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康复功能评定室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协调运动障碍的评定、平衡功能的评定、步态分析、心肺功能的评定、耐力的评定、ADL的评定、认知功能的评定；基本生理指标的测量（体温、脉搏、呼吸、血压）、人体形态学测量、ROM的测量、徒手肌力检查、反射检查、肌张力的评定等。用于康复评定技术、运动治疗技术、作业治疗技术、常见疾病康复等课程的教学与实训</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握力计、捏力计、背拉力计、测高仪、测重仪、通用量角器、电子量角器、身高体重仪、皮脂厚度仪、血压计、听诊器、肺量计软尺、简易上肢功能评价器、平衡功能评定训练系统、运动心电测试系统、认知评定训练系统、手功能作业评定箱</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平衡功能检查训练系统1台（套）、运动心电测试系统1台；其余仪器1台（套）／8人组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33</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运动治疗室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维持和改善ROM的训练、关节松动技术、增强肌力和肌耐力的训练、恢复平衡能力训练、协调性功能训练，体位摆放、身体移动及站立步行功能训练，心脏功能训练、呼吸运动及排痰能力训练，脊柱牵引疗法（颈椎牵引、腰椎牵引）、神经生理学疗法（Bobath疗法、Brunnstrom疗法、PNF疗法、Rood疗法、Vojta疗法）、运动再学习疗法。用于运动治疗技术、常见疾病康复等课程的教学与实训</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肋木、矫正镜、肩关节回旋训练器、前臂与腕关节训练器、股四头肌训练器椅、髋关节训练器、站立架、系列哑铃、平行杠、肩梯、系列沙袋、轮椅、电动直立床、多体位治疗床、下肢功率自行车、上肢及下肢持续关节被动活动仪、PT治疗床、PT治疗凳</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轮椅1辆／8人组；PT治疗床、PT治疗凳各1张／4人组；其余仪器1台（套）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44</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物理因子治疗室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低频电疗法、中频电疗法、高频电疗法、超声波疗法、磁场疗法、压力疗法与生物反馈疗法、紫外线疗法、红外线疗法、蜡疗法等。用于物理因子治疗技术、常见疾病康复等课程的教学与实训</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蜡疗仪、红外线、紫外线、超声波、超短波、磁疗、气压治疗仪、低频治疗仪、中频治疗仪、高频治疗仪</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各种仪器1台（套）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55</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作业治疗室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作业分析、ADL 训练、模拟及实物训练、感知觉训练、职业能力分析、环境改造、辅助具制作与使用。用于作业治疗技术、康复评定技术、常见疾病康复、康复辅助器具技术等课程的教学与实训</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OT综合训练台、可调式沙磨板及附件、淋浴坐便器、体操棒与抛接球、重锤式手指肌力训练、组合套凳</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各种仪器1台（套）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66</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言语治疗室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吞咽障碍的评定与治疗、构音障碍的评定与治疗、失语症的评定与治疗等。用于言语治疗技术、康复</w:t>
            </w:r>
          </w:p>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评定技术、常见疾病康复等课程的教学与实训</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言语训练卡片、吞咽言语诊治仪、失语症计算机评测治疗系统</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1台（套）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24" w:firstLineChars="202"/>
              <w:jc w:val="left"/>
              <w:textAlignment w:val="auto"/>
              <w:rPr>
                <w:rFonts w:ascii="仿宋" w:hAnsi="仿宋" w:eastAsia="仿宋" w:cs="仿宋"/>
                <w:bCs/>
                <w:kern w:val="0"/>
                <w:szCs w:val="21"/>
              </w:rPr>
            </w:pPr>
            <w:r>
              <w:rPr>
                <w:rFonts w:hint="eastAsia" w:ascii="仿宋" w:hAnsi="仿宋" w:eastAsia="仿宋" w:cs="仿宋"/>
                <w:bCs/>
                <w:kern w:val="0"/>
                <w:szCs w:val="21"/>
              </w:rPr>
              <w:t>77</w:t>
            </w:r>
          </w:p>
        </w:tc>
        <w:tc>
          <w:tcPr>
            <w:tcW w:w="1440"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bCs/>
                <w:kern w:val="0"/>
                <w:szCs w:val="21"/>
              </w:rPr>
            </w:pPr>
            <w:r>
              <w:rPr>
                <w:rFonts w:hint="eastAsia" w:ascii="仿宋" w:hAnsi="仿宋" w:eastAsia="仿宋" w:cs="仿宋"/>
                <w:bCs/>
                <w:kern w:val="0"/>
                <w:szCs w:val="21"/>
              </w:rPr>
              <w:t>传统康复治疗室</w:t>
            </w:r>
          </w:p>
        </w:tc>
        <w:tc>
          <w:tcPr>
            <w:tcW w:w="2520"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bCs/>
                <w:kern w:val="0"/>
                <w:szCs w:val="21"/>
              </w:rPr>
            </w:pPr>
            <w:r>
              <w:rPr>
                <w:rFonts w:hint="eastAsia" w:ascii="仿宋" w:hAnsi="仿宋" w:eastAsia="仿宋" w:cs="仿宋"/>
                <w:bCs/>
                <w:kern w:val="0"/>
                <w:szCs w:val="21"/>
              </w:rPr>
              <w:t>舌诊（望舌）、切诊（切脉）；认识药物；经络循行与腧穴点穴，针灸、推拿、火罐、刮痧等传统治疗技术的实训教学和操作练习；保健按摩师职业技能培训与资格鉴定、传统康复治疗技能竞赛等。用于中国传统康复技术、常见疾病康复等课程的教学与实训</w:t>
            </w:r>
          </w:p>
        </w:tc>
        <w:tc>
          <w:tcPr>
            <w:tcW w:w="2700" w:type="dxa"/>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bCs/>
                <w:kern w:val="0"/>
                <w:szCs w:val="21"/>
              </w:rPr>
            </w:pPr>
            <w:r>
              <w:rPr>
                <w:rFonts w:hint="eastAsia" w:ascii="仿宋" w:hAnsi="仿宋" w:eastAsia="仿宋" w:cs="仿宋"/>
                <w:bCs/>
                <w:kern w:val="0"/>
                <w:szCs w:val="21"/>
              </w:rPr>
              <w:t>推拿治疗床、治疗凳、大型人体穴位模型、耳穴模型、足部反射区模型、经络穴位图谱、牵引仪、火罐、刮痧板、灸盒、针具</w:t>
            </w:r>
          </w:p>
        </w:tc>
        <w:tc>
          <w:tcPr>
            <w:tcW w:w="1980" w:type="dxa"/>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bCs/>
                <w:kern w:val="0"/>
                <w:szCs w:val="21"/>
              </w:rPr>
            </w:pPr>
            <w:r>
              <w:rPr>
                <w:rFonts w:hint="eastAsia" w:ascii="仿宋" w:hAnsi="仿宋" w:eastAsia="仿宋" w:cs="仿宋"/>
                <w:bCs/>
                <w:kern w:val="0"/>
                <w:szCs w:val="21"/>
              </w:rPr>
              <w:t>大型人体腧穴模型、牵引仪各1台（套）；推拿治疗床1张／4人组；火罐、刮痧板1个（套）／2人组；小型人体腧穴模型个／2人组，针具若干／每人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78</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儿童康复治疗室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发育分析和发育的评定、婴幼儿期粗大运动发育、婴幼儿期精细运动发育；儿童感统能力训练；儿童脑瘫康复训练等。用于儿童康复概论、儿童脑性瘫痪等课程教学、常见儿童疾病康复等课程的教学与实训</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木插板、巴氏球、跳袋、套圈、儿童感觉统合训练</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1个（套）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99</w:t>
            </w:r>
          </w:p>
        </w:tc>
        <w:tc>
          <w:tcPr>
            <w:tcW w:w="144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康复工程实训室</w:t>
            </w:r>
          </w:p>
        </w:tc>
        <w:tc>
          <w:tcPr>
            <w:tcW w:w="2520" w:type="dxa"/>
            <w:vAlign w:val="center"/>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人体不同部位的假肢的配置与使用、人体不同部位矫形器的配置与使用、简单的（手、前臂、小腿）低温板材支具的制作、轮椅和助行器使用</w:t>
            </w:r>
          </w:p>
        </w:tc>
        <w:tc>
          <w:tcPr>
            <w:tcW w:w="270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数控恒温水箱、工作台、低温热塑板、脊柱过伸支具、脊柱固定支具、强固定腰围、色努矫形器、密尔沃基支架、静踝AFO、动踝AFO、PTB小腿假肢、大腿假肢等。用于康复辅助器具技术、作业治疗技术、常见疾病康复等课程的教学与实训</w:t>
            </w:r>
          </w:p>
        </w:tc>
        <w:tc>
          <w:tcPr>
            <w:tcW w:w="1980" w:type="dxa"/>
          </w:tcPr>
          <w:p>
            <w:pPr>
              <w:adjustRightInd w:val="0"/>
              <w:snapToGrid w:val="0"/>
              <w:spacing w:line="360" w:lineRule="exact"/>
              <w:jc w:val="left"/>
              <w:rPr>
                <w:rFonts w:ascii="仿宋" w:hAnsi="仿宋" w:eastAsia="仿宋" w:cs="仿宋"/>
                <w:bCs/>
                <w:kern w:val="0"/>
                <w:szCs w:val="21"/>
              </w:rPr>
            </w:pPr>
            <w:r>
              <w:rPr>
                <w:rFonts w:hint="eastAsia" w:ascii="仿宋" w:hAnsi="仿宋" w:eastAsia="仿宋" w:cs="仿宋"/>
                <w:bCs/>
                <w:kern w:val="0"/>
                <w:szCs w:val="21"/>
              </w:rPr>
              <w:t>1件（套）</w:t>
            </w:r>
          </w:p>
        </w:tc>
      </w:tr>
    </w:tbl>
    <w:p>
      <w:pPr>
        <w:adjustRightInd w:val="0"/>
        <w:snapToGrid w:val="0"/>
        <w:spacing w:line="360" w:lineRule="exact"/>
        <w:ind w:firstLine="424" w:firstLineChars="202"/>
        <w:jc w:val="left"/>
        <w:rPr>
          <w:rFonts w:ascii="仿宋" w:hAnsi="仿宋" w:eastAsia="仿宋" w:cs="仿宋"/>
          <w:bCs/>
          <w:kern w:val="0"/>
          <w:szCs w:val="21"/>
        </w:rPr>
      </w:pPr>
      <w:r>
        <w:rPr>
          <w:rFonts w:hint="eastAsia" w:ascii="仿宋" w:hAnsi="仿宋" w:eastAsia="仿宋" w:cs="仿宋"/>
          <w:bCs/>
          <w:kern w:val="0"/>
          <w:szCs w:val="21"/>
        </w:rPr>
        <w:t>说明：1台（套）仪器设备，以35-40人办学规模配置。</w:t>
      </w:r>
    </w:p>
    <w:p>
      <w:pPr>
        <w:adjustRightInd w:val="0"/>
        <w:snapToGrid w:val="0"/>
        <w:spacing w:line="360" w:lineRule="exact"/>
        <w:ind w:firstLine="424" w:firstLineChars="202"/>
        <w:jc w:val="left"/>
        <w:rPr>
          <w:rFonts w:ascii="仿宋" w:hAnsi="仿宋" w:eastAsia="仿宋" w:cs="仿宋"/>
          <w:szCs w:val="21"/>
        </w:rPr>
      </w:pP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3.校外实训基地基本要求</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具有稳定校外实训基地。能够提供开展物理治疗、作业治疗、言语治疗和传统康复治疗等实训活动，实训设备齐备，实训岗位、实训指导教师确定，实训管理及实施规章制度齐全。</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4.学生实习基地基本要求</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具有稳定的校外实习基地。能提供康复专业相关实习岗位，能涵盖当前行业发展的主流技术，可接纳一定规模的学生实习；能够配备相应数量的指导教师对学生实习进行指导和管理；有保证实习生日常工作、学习、生活的规章制度病有效实施，有安全、保险保障。</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5.支持信息化教学方面的要求</w:t>
      </w:r>
    </w:p>
    <w:p>
      <w:pPr>
        <w:adjustRightInd w:val="0"/>
        <w:snapToGrid w:val="0"/>
        <w:spacing w:line="360" w:lineRule="exact"/>
        <w:ind w:firstLine="420" w:firstLineChars="200"/>
        <w:rPr>
          <w:rFonts w:ascii="仿宋" w:hAnsi="仿宋" w:eastAsia="仿宋" w:cs="仿宋"/>
          <w:b/>
          <w:szCs w:val="21"/>
        </w:rPr>
      </w:pPr>
      <w:r>
        <w:rPr>
          <w:rFonts w:hint="eastAsia" w:ascii="仿宋" w:hAnsi="仿宋" w:eastAsia="仿宋" w:cs="仿宋"/>
          <w:color w:val="000000"/>
          <w:szCs w:val="21"/>
        </w:rPr>
        <w:t>具有利用数字化教学资源库、文献资料、常见问题解答等的信息化条件。引导鼓励教师开发并利用信息化教学资源、教学平台，创新教学方式、提升教学效果。</w:t>
      </w:r>
    </w:p>
    <w:p>
      <w:pPr>
        <w:snapToGrid w:val="0"/>
        <w:spacing w:line="276" w:lineRule="auto"/>
        <w:ind w:firstLine="422" w:firstLineChars="200"/>
        <w:rPr>
          <w:rFonts w:ascii="仿宋" w:hAnsi="仿宋" w:eastAsia="仿宋" w:cs="仿宋"/>
          <w:b/>
          <w:color w:val="000000"/>
          <w:szCs w:val="21"/>
        </w:rPr>
      </w:pPr>
      <w:r>
        <w:rPr>
          <w:rFonts w:hint="eastAsia" w:ascii="仿宋" w:hAnsi="仿宋" w:eastAsia="仿宋" w:cs="仿宋"/>
          <w:b/>
          <w:color w:val="000000"/>
          <w:szCs w:val="21"/>
        </w:rPr>
        <w:t>（三）教学资源</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具有能够满足学生专业学习、教师专业研究和教学实施需要的教材、图书、数字化资源等。</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1.教材选用基本要求</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按照国家规定选用优质教材，禁止不合格的教材进入课堂。学校严格遵循江苏联合职业技术学院教材选用制度，选用体现新技术、新规范等的高质量教材，引入典型案例。经过规范程序择优选用教材。</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2.图书文献配备基本要求</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图书文献配备能满足人才培养、专业建设、教科研等工作的需要，方便师生查询、借阅。专业类图书文献主要包括：医学政策法规、行业标准、技术规范以及康复类实验实训手册等；康复专业操作技术类图书和实务案例类图书；5种以上康复专业学术期刊。</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3.建设、配备与本专业有关的音视频素材、教学课件、数字化教学案例库、虚拟仿真软件、数字教材等专业教学资源库存，种类丰富、形式多样、使用便捷、动态更新、满足教学。</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4.互联网教学平台</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充分学习、使用、建设互联网教学平台，建设专业教学资源库。适应“互联网+职业教育”发展需求，运用现代信息技术改进教学方式方法，探索虚拟康复医学中心等网络学习空间建设和应用。</w:t>
      </w:r>
    </w:p>
    <w:p>
      <w:pPr>
        <w:snapToGrid w:val="0"/>
        <w:spacing w:line="276" w:lineRule="auto"/>
        <w:ind w:firstLine="422" w:firstLineChars="200"/>
        <w:rPr>
          <w:rFonts w:ascii="仿宋" w:hAnsi="仿宋" w:eastAsia="仿宋" w:cs="仿宋"/>
          <w:b/>
          <w:color w:val="000000"/>
          <w:szCs w:val="21"/>
        </w:rPr>
      </w:pPr>
      <w:r>
        <w:rPr>
          <w:rFonts w:hint="eastAsia" w:ascii="仿宋" w:hAnsi="仿宋" w:eastAsia="仿宋" w:cs="仿宋"/>
          <w:b/>
          <w:color w:val="000000"/>
          <w:szCs w:val="21"/>
        </w:rPr>
        <w:t>（四）教学方法</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探索项目教学、模块化教学；普及案例教学、情境教学、理实一体化教学、PBL教学、角色扮演、发现教学、启发式教学等教学方式，推动课堂教学改革。</w:t>
      </w:r>
    </w:p>
    <w:p>
      <w:pPr>
        <w:snapToGrid w:val="0"/>
        <w:spacing w:line="276" w:lineRule="auto"/>
        <w:ind w:firstLine="422" w:firstLineChars="200"/>
        <w:rPr>
          <w:rFonts w:ascii="仿宋" w:hAnsi="仿宋" w:eastAsia="仿宋" w:cs="仿宋"/>
          <w:b/>
          <w:color w:val="000000"/>
          <w:szCs w:val="21"/>
        </w:rPr>
      </w:pPr>
      <w:r>
        <w:rPr>
          <w:rFonts w:hint="eastAsia" w:ascii="仿宋" w:hAnsi="仿宋" w:eastAsia="仿宋" w:cs="仿宋"/>
          <w:b/>
          <w:color w:val="000000"/>
          <w:szCs w:val="21"/>
        </w:rPr>
        <w:t>（五）学习评价</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对知识、技能、态度三个方面进行综合评价，重视目标评价和过程评价，不断完善和改革考核评价方法，建立多元化的考核评价机制。</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考核分考试和考查两种，其中英语与计算机除参加课程考核外，还应参加社会等级考试。证书培训考核安排课外辅导和选修课完成。</w:t>
      </w:r>
      <w:r>
        <w:rPr>
          <w:rFonts w:hint="eastAsia" w:ascii="仿宋" w:hAnsi="仿宋" w:eastAsia="仿宋" w:cs="仿宋"/>
          <w:szCs w:val="21"/>
        </w:rPr>
        <w:t>康复功能评定技术、物理因子治疗技术、运动治疗技术、作业治疗技术和传统康复治疗技术应通过学</w:t>
      </w:r>
      <w:r>
        <w:rPr>
          <w:rFonts w:hint="eastAsia" w:ascii="仿宋" w:hAnsi="仿宋" w:eastAsia="仿宋" w:cs="仿宋"/>
          <w:color w:val="000000"/>
          <w:szCs w:val="21"/>
        </w:rPr>
        <w:t>校组织的专业实践技能考核。</w:t>
      </w:r>
    </w:p>
    <w:p>
      <w:pPr>
        <w:snapToGrid w:val="0"/>
        <w:spacing w:line="276" w:lineRule="auto"/>
        <w:ind w:firstLine="420" w:firstLineChars="200"/>
        <w:rPr>
          <w:rFonts w:ascii="仿宋" w:hAnsi="仿宋" w:eastAsia="仿宋" w:cs="仿宋"/>
          <w:szCs w:val="21"/>
        </w:rPr>
      </w:pPr>
      <w:r>
        <w:rPr>
          <w:rFonts w:hint="eastAsia" w:ascii="仿宋" w:hAnsi="仿宋" w:eastAsia="仿宋" w:cs="仿宋"/>
          <w:color w:val="000000"/>
          <w:szCs w:val="21"/>
        </w:rPr>
        <w:t>毕业考试科目与国家康复治疗师（士）职称资格考试接轨，考</w:t>
      </w:r>
      <w:r>
        <w:rPr>
          <w:rFonts w:hint="eastAsia" w:ascii="仿宋" w:hAnsi="仿宋" w:eastAsia="仿宋" w:cs="仿宋"/>
          <w:szCs w:val="21"/>
        </w:rPr>
        <w:t>核科目为康复功能评定技术、运动治疗技术、物理因子治疗技术、作业治疗技术和临床康复几门专业核心课程的综合性知识，主要考核内容与国家康复治疗师（士）职称资格考试大纲要求的内容相符合。</w:t>
      </w:r>
    </w:p>
    <w:p>
      <w:pPr>
        <w:snapToGrid w:val="0"/>
        <w:spacing w:line="276" w:lineRule="auto"/>
        <w:ind w:firstLine="422" w:firstLineChars="200"/>
        <w:rPr>
          <w:rFonts w:ascii="仿宋" w:hAnsi="仿宋" w:eastAsia="仿宋" w:cs="仿宋"/>
          <w:b/>
          <w:color w:val="000000"/>
          <w:szCs w:val="21"/>
        </w:rPr>
      </w:pPr>
      <w:r>
        <w:rPr>
          <w:rFonts w:hint="eastAsia" w:ascii="仿宋" w:hAnsi="仿宋" w:eastAsia="仿宋" w:cs="仿宋"/>
          <w:b/>
          <w:color w:val="000000"/>
          <w:szCs w:val="21"/>
        </w:rPr>
        <w:t xml:space="preserve">（六）质量保障 </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1.学校和系部建立专业建设和教学过程质量监控机制，健全专业教学质量监控管理制度，完善课堂教学、教学评价、实习实训、毕业设计以及专业调研、人才培养方案更新、资源建设等方面质量标准建设，通过教学实施、过程监控、质量评价和持续改进，达成人才培养规格。</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2.学校和系部完善教学管理机制，加强日常教学组织运行与管理，定期开展课程建设水平和教学质量诊断与改进，建立健全巡课、听课、评教、评学等制度，建立与企业联动的实践教学环节督导制度，严明教学纪律，强化教学组织功能，定期开展公开课、示范课等教研活动。</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3.学校建立毕业生跟踪反馈机制及社会评价机制，并对生源情况、在校生学业水平、毕业生就业情况等进行分析，定期评价人才培养质量和培养目标达成情况。</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4.专业教研组织应充分利用评价分析结果有效改进专业教学，持续提高人才培养质量。</w:t>
      </w:r>
    </w:p>
    <w:p>
      <w:pPr>
        <w:adjustRightInd w:val="0"/>
        <w:snapToGrid w:val="0"/>
        <w:spacing w:line="360" w:lineRule="exact"/>
        <w:ind w:firstLine="422" w:firstLineChars="200"/>
        <w:rPr>
          <w:rFonts w:ascii="仿宋" w:hAnsi="仿宋" w:eastAsia="仿宋" w:cs="仿宋"/>
          <w:b/>
          <w:szCs w:val="21"/>
        </w:rPr>
      </w:pPr>
      <w:r>
        <w:rPr>
          <w:rFonts w:hint="eastAsia" w:ascii="仿宋" w:hAnsi="仿宋" w:eastAsia="仿宋" w:cs="仿宋"/>
          <w:b/>
          <w:szCs w:val="21"/>
        </w:rPr>
        <w:t>九、毕业要求</w:t>
      </w:r>
    </w:p>
    <w:p>
      <w:pPr>
        <w:snapToGrid w:val="0"/>
        <w:spacing w:line="276" w:lineRule="auto"/>
        <w:ind w:firstLine="420" w:firstLineChars="200"/>
        <w:rPr>
          <w:rFonts w:ascii="仿宋" w:hAnsi="仿宋" w:eastAsia="仿宋" w:cs="仿宋"/>
          <w:color w:val="000000"/>
          <w:szCs w:val="21"/>
        </w:rPr>
      </w:pPr>
      <w:r>
        <w:rPr>
          <w:rFonts w:hint="eastAsia" w:ascii="仿宋" w:hAnsi="仿宋" w:eastAsia="仿宋" w:cs="仿宋"/>
          <w:color w:val="000000"/>
          <w:szCs w:val="21"/>
        </w:rPr>
        <w:t>学生通过五年的学习，须修满专业人才培养方案所规定的学时学分，完成规定的教学活动，达到规定素质、知识和能力等方面的要求。五年制高职康复治疗技术专业学生在毕业前选考“1+X”制度相关职业技能等级证书，如老年照护、失智老年人照护。</w:t>
      </w:r>
    </w:p>
    <w:p>
      <w:pPr>
        <w:adjustRightInd w:val="0"/>
        <w:snapToGrid w:val="0"/>
        <w:spacing w:line="360" w:lineRule="exact"/>
        <w:ind w:firstLine="422" w:firstLineChars="200"/>
        <w:rPr>
          <w:rFonts w:ascii="仿宋" w:hAnsi="仿宋" w:eastAsia="仿宋" w:cs="仿宋"/>
          <w:b/>
          <w:bCs/>
          <w:szCs w:val="21"/>
        </w:rPr>
      </w:pPr>
      <w:r>
        <w:rPr>
          <w:rFonts w:hint="eastAsia" w:ascii="仿宋" w:hAnsi="仿宋" w:eastAsia="仿宋" w:cs="仿宋"/>
          <w:b/>
          <w:szCs w:val="21"/>
        </w:rPr>
        <w:t>十、</w:t>
      </w:r>
      <w:r>
        <w:rPr>
          <w:rFonts w:hint="eastAsia" w:ascii="仿宋" w:hAnsi="仿宋" w:eastAsia="仿宋" w:cs="仿宋"/>
          <w:b/>
          <w:bCs/>
          <w:szCs w:val="21"/>
        </w:rPr>
        <w:t xml:space="preserve">编制依据 </w:t>
      </w:r>
    </w:p>
    <w:p>
      <w:pPr>
        <w:snapToGrid w:val="0"/>
        <w:spacing w:line="360" w:lineRule="exact"/>
        <w:ind w:firstLine="420" w:firstLineChars="200"/>
        <w:jc w:val="left"/>
        <w:rPr>
          <w:rFonts w:ascii="仿宋" w:hAnsi="仿宋" w:eastAsia="仿宋" w:cs="仿宋"/>
          <w:bCs/>
          <w:color w:val="000000"/>
          <w:szCs w:val="21"/>
          <w:lang w:bidi="ar"/>
        </w:rPr>
      </w:pPr>
      <w:r>
        <w:rPr>
          <w:rFonts w:hint="eastAsia" w:ascii="仿宋" w:hAnsi="仿宋" w:eastAsia="仿宋" w:cs="仿宋"/>
          <w:bCs/>
          <w:color w:val="000000"/>
          <w:szCs w:val="21"/>
          <w:lang w:bidi="ar"/>
        </w:rPr>
        <w:t>1.苏政办发【2012】194号《省政府办公厅转发省教育厅关于进一步提高职业教育教学质量意见的通知》。</w:t>
      </w:r>
    </w:p>
    <w:p>
      <w:pPr>
        <w:snapToGrid w:val="0"/>
        <w:spacing w:line="360" w:lineRule="exact"/>
        <w:ind w:firstLine="420" w:firstLineChars="200"/>
        <w:jc w:val="left"/>
        <w:rPr>
          <w:rFonts w:ascii="仿宋" w:hAnsi="仿宋" w:eastAsia="仿宋" w:cs="仿宋"/>
          <w:bCs/>
          <w:color w:val="000000"/>
          <w:szCs w:val="21"/>
          <w:lang w:bidi="ar"/>
        </w:rPr>
      </w:pPr>
      <w:r>
        <w:rPr>
          <w:rFonts w:hint="eastAsia" w:ascii="仿宋" w:hAnsi="仿宋" w:eastAsia="仿宋" w:cs="仿宋"/>
          <w:bCs/>
          <w:color w:val="000000"/>
          <w:szCs w:val="21"/>
          <w:lang w:bidi="ar"/>
        </w:rPr>
        <w:t>2. 2018年教育部印发的《新时代高校教师职业行为十项准则》。</w:t>
      </w:r>
    </w:p>
    <w:p>
      <w:pPr>
        <w:snapToGrid w:val="0"/>
        <w:spacing w:line="360" w:lineRule="exact"/>
        <w:ind w:firstLine="420" w:firstLineChars="200"/>
        <w:jc w:val="left"/>
        <w:rPr>
          <w:rFonts w:ascii="仿宋" w:hAnsi="仿宋" w:eastAsia="仿宋" w:cs="仿宋"/>
          <w:bCs/>
          <w:color w:val="000000"/>
          <w:szCs w:val="21"/>
          <w:lang w:bidi="ar"/>
        </w:rPr>
      </w:pPr>
      <w:r>
        <w:rPr>
          <w:rFonts w:hint="eastAsia" w:ascii="仿宋" w:hAnsi="仿宋" w:eastAsia="仿宋" w:cs="仿宋"/>
          <w:bCs/>
          <w:color w:val="000000"/>
          <w:szCs w:val="21"/>
          <w:lang w:bidi="ar"/>
        </w:rPr>
        <w:t>3.《国家职业教育改革实施方案》（职教20条）</w:t>
      </w:r>
    </w:p>
    <w:p>
      <w:pPr>
        <w:snapToGrid w:val="0"/>
        <w:spacing w:line="360" w:lineRule="exact"/>
        <w:ind w:firstLine="420" w:firstLineChars="200"/>
        <w:jc w:val="left"/>
        <w:rPr>
          <w:rFonts w:ascii="仿宋" w:hAnsi="仿宋" w:eastAsia="仿宋" w:cs="仿宋"/>
          <w:bCs/>
          <w:color w:val="000000"/>
          <w:szCs w:val="21"/>
          <w:lang w:bidi="ar"/>
        </w:rPr>
      </w:pPr>
      <w:r>
        <w:rPr>
          <w:rFonts w:hint="eastAsia" w:ascii="仿宋" w:hAnsi="仿宋" w:eastAsia="仿宋" w:cs="仿宋"/>
          <w:bCs/>
          <w:color w:val="000000"/>
          <w:szCs w:val="21"/>
          <w:lang w:bidi="ar"/>
        </w:rPr>
        <w:t>4.《教育部职业教育与成人教育司关于组织做好职业院校专业人才培养方案制订与实施工作的通知》（教职成司函〔2019〕61号）；</w:t>
      </w:r>
    </w:p>
    <w:p>
      <w:pPr>
        <w:snapToGrid w:val="0"/>
        <w:spacing w:line="360" w:lineRule="exact"/>
        <w:ind w:firstLine="420" w:firstLineChars="200"/>
        <w:jc w:val="left"/>
        <w:rPr>
          <w:rFonts w:ascii="仿宋" w:hAnsi="仿宋" w:eastAsia="仿宋" w:cs="仿宋"/>
          <w:bCs/>
          <w:color w:val="000000"/>
          <w:szCs w:val="21"/>
          <w:lang w:bidi="ar"/>
        </w:rPr>
      </w:pPr>
      <w:r>
        <w:rPr>
          <w:rFonts w:hint="eastAsia" w:ascii="仿宋" w:hAnsi="仿宋" w:eastAsia="仿宋" w:cs="仿宋"/>
          <w:bCs/>
          <w:color w:val="000000"/>
          <w:szCs w:val="21"/>
          <w:lang w:bidi="ar"/>
        </w:rPr>
        <w:t>5.《职业学校学生实习管理规定》（教职成〔2016〕3号）</w:t>
      </w:r>
    </w:p>
    <w:p>
      <w:pPr>
        <w:snapToGrid w:val="0"/>
        <w:spacing w:line="360" w:lineRule="exact"/>
        <w:ind w:firstLine="420" w:firstLineChars="200"/>
        <w:jc w:val="left"/>
        <w:rPr>
          <w:rFonts w:ascii="仿宋" w:hAnsi="仿宋" w:eastAsia="仿宋" w:cs="仿宋"/>
          <w:bCs/>
          <w:color w:val="000000"/>
          <w:szCs w:val="21"/>
          <w:lang w:bidi="ar"/>
        </w:rPr>
      </w:pPr>
      <w:r>
        <w:rPr>
          <w:rFonts w:hint="eastAsia" w:ascii="仿宋" w:hAnsi="仿宋" w:eastAsia="仿宋" w:cs="仿宋"/>
          <w:bCs/>
          <w:color w:val="000000"/>
          <w:szCs w:val="21"/>
          <w:lang w:bidi="ar"/>
        </w:rPr>
        <w:t>6.</w:t>
      </w:r>
      <w:r>
        <w:rPr>
          <w:rFonts w:hint="eastAsia" w:ascii="仿宋" w:hAnsi="仿宋" w:eastAsia="仿宋" w:cs="仿宋"/>
          <w:szCs w:val="21"/>
        </w:rPr>
        <w:t xml:space="preserve"> </w:t>
      </w:r>
      <w:r>
        <w:rPr>
          <w:rFonts w:hint="eastAsia" w:ascii="仿宋" w:hAnsi="仿宋" w:eastAsia="仿宋" w:cs="仿宋"/>
          <w:bCs/>
          <w:color w:val="000000"/>
          <w:szCs w:val="21"/>
          <w:lang w:bidi="ar"/>
        </w:rPr>
        <w:t>江苏省康复医疗事业十三五发展规划</w:t>
      </w:r>
    </w:p>
    <w:p>
      <w:pPr>
        <w:snapToGrid w:val="0"/>
        <w:spacing w:line="360" w:lineRule="exact"/>
        <w:ind w:firstLine="420" w:firstLineChars="200"/>
        <w:jc w:val="left"/>
        <w:rPr>
          <w:rFonts w:ascii="仿宋" w:hAnsi="仿宋" w:eastAsia="仿宋" w:cs="仿宋"/>
          <w:bCs/>
          <w:color w:val="000000"/>
          <w:szCs w:val="21"/>
          <w:lang w:bidi="ar"/>
        </w:rPr>
      </w:pPr>
      <w:r>
        <w:rPr>
          <w:rFonts w:hint="eastAsia" w:ascii="仿宋" w:hAnsi="仿宋" w:eastAsia="仿宋" w:cs="仿宋"/>
          <w:bCs/>
          <w:color w:val="000000"/>
          <w:szCs w:val="21"/>
          <w:lang w:bidi="ar"/>
        </w:rPr>
        <w:t>7.“健康中国2030”规划纲要</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8. 《国家职业教育改革实施方案的通知》（国发〔2019〕4号）；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9.中共中央办公厅 国务院办公厅《关于实施中华优秀传统文化传承发展工程的意见》；</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10.《国务院办公厅关于深化产教融合的若干意见》（国办发〔2017〕95号）；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11.《教育部关于深化职业教育教学改革全面提高人才培养质量的若干意见》（教职成[2015]6号）；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12.《教育部关于职业院校专业人才培养方案制定与实施工作的指导意见》（教职成〔2019〕13号）；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13.《教育部关于加强新时代高校“形势与政策”课建设的若干意见》（教社科〔2018〕1号）；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14.中共教育部党组关于印发《高等学校学生心理健康教育指导纲要》的通知（教党〔2018〕41号）；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15.《省政府关于加快推进职业教育现代化的若干意见》（苏政发〔2018〕68号）；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16.《省政府办公厅关于深化产教融合的实施意见》（苏政办发〔2018〕48号）；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17.《人社部、财政部关于全面推行企业新型学徒制的意见》（人社部发〔2018〕66号）；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18.《教育部等四部门关于在院校实施“学历证书+若干职业技能等级证书”制度试点方案》的通知（教职成〔2019〕6号）；</w:t>
      </w:r>
    </w:p>
    <w:p>
      <w:pPr>
        <w:snapToGrid w:val="0"/>
        <w:spacing w:line="360" w:lineRule="exact"/>
        <w:ind w:firstLine="420" w:firstLineChars="200"/>
        <w:jc w:val="left"/>
        <w:rPr>
          <w:rFonts w:ascii="仿宋" w:hAnsi="仿宋" w:eastAsia="仿宋" w:cs="仿宋"/>
          <w:bCs/>
          <w:szCs w:val="21"/>
          <w:lang w:bidi="ar"/>
        </w:rPr>
      </w:pPr>
      <w:r>
        <w:rPr>
          <w:rFonts w:hint="eastAsia" w:ascii="仿宋" w:hAnsi="仿宋" w:eastAsia="仿宋" w:cs="仿宋"/>
          <w:bCs/>
          <w:szCs w:val="21"/>
          <w:lang w:bidi="ar"/>
        </w:rPr>
        <w:t>19.《教育部职业教育与成人教育司关于做好首批1+X证书制度试点工作的通知》（教职成司函〔2019〕36号）。</w:t>
      </w:r>
    </w:p>
    <w:p>
      <w:pPr>
        <w:snapToGrid w:val="0"/>
        <w:spacing w:line="360" w:lineRule="exact"/>
        <w:jc w:val="left"/>
        <w:rPr>
          <w:rFonts w:ascii="仿宋" w:hAnsi="仿宋" w:eastAsia="仿宋" w:cs="仿宋"/>
          <w:bCs/>
          <w:szCs w:val="21"/>
          <w:lang w:bidi="ar"/>
        </w:rPr>
      </w:pPr>
      <w:r>
        <w:rPr>
          <w:rFonts w:hint="eastAsia" w:ascii="仿宋" w:hAnsi="仿宋" w:eastAsia="仿宋" w:cs="仿宋"/>
          <w:bCs/>
          <w:szCs w:val="21"/>
          <w:lang w:bidi="ar"/>
        </w:rPr>
        <w:br w:type="page"/>
      </w:r>
    </w:p>
    <w:tbl>
      <w:tblPr>
        <w:tblStyle w:val="5"/>
        <w:tblW w:w="9000" w:type="dxa"/>
        <w:jc w:val="center"/>
        <w:tblLayout w:type="autofit"/>
        <w:tblCellMar>
          <w:top w:w="0" w:type="dxa"/>
          <w:left w:w="0" w:type="dxa"/>
          <w:bottom w:w="0" w:type="dxa"/>
          <w:right w:w="0" w:type="dxa"/>
        </w:tblCellMar>
      </w:tblPr>
      <w:tblGrid>
        <w:gridCol w:w="257"/>
        <w:gridCol w:w="257"/>
        <w:gridCol w:w="257"/>
        <w:gridCol w:w="355"/>
        <w:gridCol w:w="2106"/>
        <w:gridCol w:w="722"/>
        <w:gridCol w:w="419"/>
        <w:gridCol w:w="459"/>
        <w:gridCol w:w="390"/>
        <w:gridCol w:w="390"/>
        <w:gridCol w:w="397"/>
        <w:gridCol w:w="446"/>
        <w:gridCol w:w="419"/>
        <w:gridCol w:w="397"/>
        <w:gridCol w:w="324"/>
        <w:gridCol w:w="338"/>
        <w:gridCol w:w="397"/>
        <w:gridCol w:w="297"/>
        <w:gridCol w:w="387"/>
      </w:tblGrid>
      <w:tr>
        <w:tblPrEx>
          <w:tblCellMar>
            <w:top w:w="0" w:type="dxa"/>
            <w:left w:w="0" w:type="dxa"/>
            <w:bottom w:w="0" w:type="dxa"/>
            <w:right w:w="0" w:type="dxa"/>
          </w:tblCellMar>
        </w:tblPrEx>
        <w:trPr>
          <w:trHeight w:val="303" w:hRule="atLeast"/>
          <w:jc w:val="center"/>
        </w:trPr>
        <w:tc>
          <w:tcPr>
            <w:tcW w:w="9010" w:type="dxa"/>
            <w:gridSpan w:val="19"/>
            <w:tcBorders>
              <w:top w:val="nil"/>
              <w:left w:val="nil"/>
              <w:bottom w:val="nil"/>
              <w:right w:val="nil"/>
            </w:tcBorders>
            <w:shd w:val="clear" w:color="auto" w:fill="auto"/>
            <w:noWrap/>
            <w:tcMar>
              <w:top w:w="12" w:type="dxa"/>
              <w:left w:w="12" w:type="dxa"/>
              <w:right w:w="12" w:type="dxa"/>
            </w:tcMar>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lang w:bidi="ar"/>
              </w:rPr>
              <w:t>附：2020级五年制高等职业教育康复治疗技术专业教学时间安排表</w:t>
            </w:r>
          </w:p>
        </w:tc>
      </w:tr>
      <w:tr>
        <w:tblPrEx>
          <w:tblCellMar>
            <w:top w:w="0" w:type="dxa"/>
            <w:left w:w="0" w:type="dxa"/>
            <w:bottom w:w="0" w:type="dxa"/>
            <w:right w:w="0" w:type="dxa"/>
          </w:tblCellMar>
        </w:tblPrEx>
        <w:trPr>
          <w:trHeight w:val="180" w:hRule="atLeast"/>
          <w:jc w:val="center"/>
        </w:trPr>
        <w:tc>
          <w:tcPr>
            <w:tcW w:w="5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课程</w:t>
            </w:r>
            <w:r>
              <w:rPr>
                <w:rFonts w:hint="eastAsia" w:ascii="宋体" w:hAnsi="宋体" w:cs="宋体"/>
                <w:b/>
                <w:color w:val="000000"/>
                <w:kern w:val="0"/>
                <w:sz w:val="18"/>
                <w:szCs w:val="18"/>
                <w:lang w:bidi="ar"/>
              </w:rPr>
              <w:br w:type="textWrapping"/>
            </w:r>
            <w:r>
              <w:rPr>
                <w:rFonts w:hint="eastAsia" w:ascii="宋体" w:hAnsi="宋体" w:cs="宋体"/>
                <w:b/>
                <w:color w:val="000000"/>
                <w:kern w:val="0"/>
                <w:sz w:val="18"/>
                <w:szCs w:val="18"/>
                <w:lang w:bidi="ar"/>
              </w:rPr>
              <w:t>类别</w:t>
            </w:r>
          </w:p>
        </w:tc>
        <w:tc>
          <w:tcPr>
            <w:tcW w:w="6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序号</w:t>
            </w:r>
          </w:p>
        </w:tc>
        <w:tc>
          <w:tcPr>
            <w:tcW w:w="210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课程名称</w:t>
            </w:r>
          </w:p>
        </w:tc>
        <w:tc>
          <w:tcPr>
            <w:tcW w:w="1148"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学时数与学分</w:t>
            </w:r>
          </w:p>
        </w:tc>
        <w:tc>
          <w:tcPr>
            <w:tcW w:w="0" w:type="auto"/>
            <w:gridSpan w:val="10"/>
            <w:tcBorders>
              <w:top w:val="single" w:color="000000" w:sz="8"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周课时与教学周安排</w:t>
            </w:r>
          </w:p>
        </w:tc>
        <w:tc>
          <w:tcPr>
            <w:tcW w:w="68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考核方式</w:t>
            </w:r>
          </w:p>
        </w:tc>
      </w:tr>
      <w:tr>
        <w:tblPrEx>
          <w:tblCellMar>
            <w:top w:w="0" w:type="dxa"/>
            <w:left w:w="0" w:type="dxa"/>
            <w:bottom w:w="0" w:type="dxa"/>
            <w:right w:w="0" w:type="dxa"/>
          </w:tblCellMar>
        </w:tblPrEx>
        <w:trPr>
          <w:trHeight w:val="180" w:hRule="atLeast"/>
          <w:jc w:val="center"/>
        </w:trPr>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21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7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kern w:val="0"/>
                <w:sz w:val="18"/>
                <w:szCs w:val="18"/>
                <w:lang w:bidi="ar"/>
              </w:rPr>
            </w:pPr>
            <w:r>
              <w:rPr>
                <w:rFonts w:hint="eastAsia" w:ascii="宋体" w:hAnsi="宋体" w:cs="宋体"/>
                <w:b/>
                <w:color w:val="000000"/>
                <w:kern w:val="0"/>
                <w:sz w:val="18"/>
                <w:szCs w:val="18"/>
                <w:lang w:bidi="ar"/>
              </w:rPr>
              <w:t>总学</w:t>
            </w:r>
          </w:p>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时数</w:t>
            </w:r>
          </w:p>
        </w:tc>
        <w:tc>
          <w:tcPr>
            <w:tcW w:w="41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学分</w:t>
            </w:r>
          </w:p>
        </w:tc>
        <w:tc>
          <w:tcPr>
            <w:tcW w:w="86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一</w:t>
            </w:r>
          </w:p>
        </w:tc>
        <w:tc>
          <w:tcPr>
            <w:tcW w:w="797"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二</w:t>
            </w: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三</w:t>
            </w:r>
          </w:p>
        </w:tc>
        <w:tc>
          <w:tcPr>
            <w:tcW w:w="7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四</w:t>
            </w:r>
          </w:p>
        </w:tc>
        <w:tc>
          <w:tcPr>
            <w:tcW w:w="67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五</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考</w:t>
            </w:r>
            <w:r>
              <w:rPr>
                <w:rFonts w:hint="eastAsia" w:ascii="宋体" w:hAnsi="宋体" w:cs="宋体"/>
                <w:b/>
                <w:color w:val="000000"/>
                <w:kern w:val="0"/>
                <w:sz w:val="18"/>
                <w:szCs w:val="18"/>
                <w:lang w:bidi="ar"/>
              </w:rPr>
              <w:br w:type="textWrapping"/>
            </w:r>
            <w:r>
              <w:rPr>
                <w:rFonts w:hint="eastAsia" w:ascii="宋体" w:hAnsi="宋体" w:cs="宋体"/>
                <w:b/>
                <w:color w:val="000000"/>
                <w:kern w:val="0"/>
                <w:sz w:val="18"/>
                <w:szCs w:val="18"/>
                <w:lang w:bidi="ar"/>
              </w:rPr>
              <w:t>试</w:t>
            </w:r>
          </w:p>
        </w:tc>
        <w:tc>
          <w:tcPr>
            <w:tcW w:w="39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lang w:bidi="ar"/>
              </w:rPr>
              <w:t>考</w:t>
            </w:r>
            <w:r>
              <w:rPr>
                <w:rFonts w:hint="eastAsia" w:ascii="宋体" w:hAnsi="宋体" w:cs="宋体"/>
                <w:b/>
                <w:color w:val="000000"/>
                <w:kern w:val="0"/>
                <w:sz w:val="18"/>
                <w:szCs w:val="18"/>
                <w:lang w:bidi="ar"/>
              </w:rPr>
              <w:br w:type="textWrapping"/>
            </w:r>
            <w:r>
              <w:rPr>
                <w:rFonts w:hint="eastAsia" w:ascii="宋体" w:hAnsi="宋体" w:cs="宋体"/>
                <w:b/>
                <w:color w:val="000000"/>
                <w:kern w:val="0"/>
                <w:sz w:val="18"/>
                <w:szCs w:val="18"/>
                <w:lang w:bidi="ar"/>
              </w:rPr>
              <w:t>查</w:t>
            </w:r>
          </w:p>
        </w:tc>
      </w:tr>
      <w:tr>
        <w:tblPrEx>
          <w:tblCellMar>
            <w:top w:w="0" w:type="dxa"/>
            <w:left w:w="0" w:type="dxa"/>
            <w:bottom w:w="0" w:type="dxa"/>
            <w:right w:w="0" w:type="dxa"/>
          </w:tblCellMar>
        </w:tblPrEx>
        <w:trPr>
          <w:trHeight w:val="180" w:hRule="atLeast"/>
          <w:jc w:val="center"/>
        </w:trPr>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21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b/>
                <w:color w:val="000000"/>
                <w:sz w:val="18"/>
                <w:szCs w:val="18"/>
              </w:rPr>
            </w:pPr>
          </w:p>
        </w:tc>
        <w:tc>
          <w:tcPr>
            <w:tcW w:w="7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4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3</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4</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5</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6</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7</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8</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9</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10</w:t>
            </w: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3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r>
      <w:tr>
        <w:tblPrEx>
          <w:tblCellMar>
            <w:top w:w="0" w:type="dxa"/>
            <w:left w:w="0" w:type="dxa"/>
            <w:bottom w:w="0" w:type="dxa"/>
            <w:right w:w="0" w:type="dxa"/>
          </w:tblCellMar>
        </w:tblPrEx>
        <w:trPr>
          <w:trHeight w:val="180" w:hRule="atLeast"/>
          <w:jc w:val="center"/>
        </w:trPr>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6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21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b/>
                <w:color w:val="000000"/>
                <w:sz w:val="18"/>
                <w:szCs w:val="18"/>
              </w:rPr>
            </w:pPr>
          </w:p>
        </w:tc>
        <w:tc>
          <w:tcPr>
            <w:tcW w:w="7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4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15+3</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18</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18</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16+2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16+2</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15+3</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16+2</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18</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18</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b/>
                <w:color w:val="000000"/>
                <w:sz w:val="18"/>
                <w:szCs w:val="18"/>
              </w:rPr>
            </w:pPr>
            <w:r>
              <w:rPr>
                <w:b/>
                <w:color w:val="000000"/>
                <w:kern w:val="0"/>
                <w:sz w:val="18"/>
                <w:szCs w:val="18"/>
                <w:lang w:bidi="ar"/>
              </w:rPr>
              <w:t>16+2</w:t>
            </w: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3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公共基础课</w:t>
            </w:r>
          </w:p>
        </w:tc>
        <w:tc>
          <w:tcPr>
            <w:tcW w:w="257" w:type="dxa"/>
            <w:vMerge w:val="restart"/>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思政课程</w:t>
            </w:r>
          </w:p>
        </w:tc>
        <w:tc>
          <w:tcPr>
            <w:tcW w:w="257"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必修</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中国特色社会主义</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Arial" w:hAnsi="Arial" w:cs="Arial"/>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心理健康与职业生涯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哲学与人生</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职业道德与法治</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42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思想道德修养与法律基础</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48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45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6</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毛泽东思想与中国特色社会主义理论体系概论</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7</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创业与就业教育</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8</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中华优秀传统文化（专题讲座）</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总12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总12</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9</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形势与政策（专题讲座）</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总8</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总8</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总8</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Arial" w:hAnsi="Arial" w:cs="Arial"/>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285"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文化课</w:t>
            </w:r>
          </w:p>
        </w:tc>
        <w:tc>
          <w:tcPr>
            <w:tcW w:w="257"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必修</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jc w:val="left"/>
              <w:textAlignment w:val="top"/>
              <w:rPr>
                <w:rFonts w:ascii="宋体" w:hAnsi="宋体" w:cs="宋体"/>
                <w:color w:val="000000"/>
                <w:sz w:val="16"/>
                <w:szCs w:val="16"/>
              </w:rPr>
            </w:pPr>
            <w:r>
              <w:rPr>
                <w:rFonts w:hint="eastAsia" w:ascii="宋体" w:hAnsi="宋体" w:cs="宋体"/>
                <w:color w:val="000000"/>
                <w:kern w:val="0"/>
                <w:sz w:val="16"/>
                <w:szCs w:val="16"/>
                <w:lang w:bidi="ar"/>
              </w:rPr>
              <w:t>语文</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280</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17</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数学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262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英语</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280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17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体育与健康</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18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Arial" w:hAnsi="Arial" w:cs="Arial"/>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信息技术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132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8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FF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b/>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6</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艺术（音乐疗法）</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7</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历史</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68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8</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化学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限选</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9</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物理</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3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10</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生物化学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998" w:type="dxa"/>
            <w:gridSpan w:val="4"/>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公共基础课小计</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1778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101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专业技能课</w:t>
            </w:r>
          </w:p>
        </w:tc>
        <w:tc>
          <w:tcPr>
            <w:tcW w:w="5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专业</w:t>
            </w:r>
            <w:r>
              <w:rPr>
                <w:rFonts w:hint="eastAsia" w:ascii="宋体" w:hAnsi="宋体" w:cs="宋体"/>
                <w:color w:val="000000"/>
                <w:kern w:val="0"/>
                <w:sz w:val="16"/>
                <w:szCs w:val="16"/>
                <w:lang w:bidi="ar"/>
              </w:rPr>
              <w:br w:type="textWrapping"/>
            </w:r>
            <w:r>
              <w:rPr>
                <w:rFonts w:hint="eastAsia" w:ascii="宋体" w:hAnsi="宋体" w:cs="宋体"/>
                <w:color w:val="000000"/>
                <w:kern w:val="0"/>
                <w:sz w:val="16"/>
                <w:szCs w:val="16"/>
                <w:lang w:bidi="ar"/>
              </w:rPr>
              <w:t>群平台</w:t>
            </w:r>
            <w:r>
              <w:rPr>
                <w:rFonts w:hint="eastAsia" w:ascii="宋体" w:hAnsi="宋体" w:cs="宋体"/>
                <w:color w:val="000000"/>
                <w:kern w:val="0"/>
                <w:sz w:val="16"/>
                <w:szCs w:val="16"/>
                <w:lang w:bidi="ar"/>
              </w:rPr>
              <w:br w:type="textWrapping"/>
            </w:r>
            <w:r>
              <w:rPr>
                <w:rFonts w:hint="eastAsia" w:ascii="宋体" w:hAnsi="宋体" w:cs="宋体"/>
                <w:color w:val="000000"/>
                <w:kern w:val="0"/>
                <w:sz w:val="16"/>
                <w:szCs w:val="16"/>
                <w:lang w:bidi="ar"/>
              </w:rPr>
              <w:t>课程</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系统解剖学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90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生理学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72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病因病理学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72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诊断学基础</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疾病概要</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126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8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5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6</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中医学基础</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专业平台课程</w:t>
            </w: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2"/>
                <w:szCs w:val="12"/>
              </w:rPr>
            </w:pPr>
            <w:r>
              <w:rPr>
                <w:rFonts w:hint="eastAsia" w:ascii="宋体" w:hAnsi="宋体" w:cs="宋体"/>
                <w:color w:val="000000"/>
                <w:kern w:val="0"/>
                <w:sz w:val="12"/>
                <w:szCs w:val="12"/>
                <w:lang w:bidi="ar"/>
              </w:rPr>
              <w:t>专业核心课程</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康复评定技术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128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8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运动治疗技术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154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物理因子治疗技术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 xml:space="preserve">作业治疗技术 </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言语治疗技术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Arial" w:hAnsi="Arial" w:cs="Arial"/>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6</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临床康复治疗学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96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2"/>
                <w:szCs w:val="12"/>
              </w:rPr>
            </w:pPr>
            <w:r>
              <w:rPr>
                <w:rFonts w:hint="eastAsia" w:ascii="宋体" w:hAnsi="宋体" w:cs="宋体"/>
                <w:color w:val="000000"/>
                <w:kern w:val="0"/>
                <w:sz w:val="12"/>
                <w:szCs w:val="12"/>
                <w:lang w:bidi="ar"/>
              </w:rPr>
              <w:t>专业课程</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康复医学导论</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nil"/>
              <w:left w:val="nil"/>
              <w:bottom w:val="nil"/>
              <w:right w:val="nil"/>
            </w:tcBorders>
            <w:shd w:val="clear" w:color="auto" w:fill="auto"/>
            <w:noWrap/>
            <w:tcMar>
              <w:top w:w="12" w:type="dxa"/>
              <w:left w:w="12" w:type="dxa"/>
              <w:right w:w="12" w:type="dxa"/>
            </w:tcMar>
            <w:vAlign w:val="center"/>
          </w:tcPr>
          <w:p>
            <w:pPr>
              <w:rPr>
                <w:rFonts w:ascii="宋体" w:hAnsi="宋体" w:cs="宋体"/>
                <w:color w:val="000000"/>
                <w:sz w:val="22"/>
                <w:szCs w:val="22"/>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人体发育学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运动学基础</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108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影像学基础</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传统康复治疗技术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90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6</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社区康复</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36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7</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康复工程技术</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72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8</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康复心理学</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64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集中实践课程</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岗位认知</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教学实践、见习</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270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9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毕业实习</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1020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毕业教育</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毕业设计</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741" w:type="dxa"/>
            <w:gridSpan w:val="3"/>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集中实践小计</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1380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46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Arial" w:hAnsi="Arial" w:cs="Arial"/>
                <w:color w:val="000000"/>
                <w:sz w:val="18"/>
                <w:szCs w:val="18"/>
              </w:rPr>
            </w:pP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998"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专业平台课程小计</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2902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405"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专业方向课程</w:t>
            </w: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2"/>
                <w:szCs w:val="12"/>
              </w:rPr>
            </w:pPr>
            <w:r>
              <w:rPr>
                <w:rFonts w:hint="eastAsia" w:ascii="宋体" w:hAnsi="宋体" w:cs="宋体"/>
                <w:color w:val="000000"/>
                <w:kern w:val="0"/>
                <w:sz w:val="12"/>
                <w:szCs w:val="12"/>
                <w:lang w:bidi="ar"/>
              </w:rPr>
              <w:t>妇产康复</w:t>
            </w:r>
          </w:p>
        </w:tc>
        <w:tc>
          <w:tcPr>
            <w:tcW w:w="3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妇产科学</w:t>
            </w:r>
          </w:p>
        </w:tc>
        <w:tc>
          <w:tcPr>
            <w:tcW w:w="729"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108 </w:t>
            </w:r>
          </w:p>
        </w:tc>
        <w:tc>
          <w:tcPr>
            <w:tcW w:w="41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6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妇产康复</w:t>
            </w:r>
          </w:p>
        </w:tc>
        <w:tc>
          <w:tcPr>
            <w:tcW w:w="729"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2"/>
                <w:szCs w:val="12"/>
              </w:rPr>
            </w:pPr>
            <w:r>
              <w:rPr>
                <w:rFonts w:hint="eastAsia" w:ascii="宋体" w:hAnsi="宋体" w:cs="宋体"/>
                <w:color w:val="000000"/>
                <w:kern w:val="0"/>
                <w:sz w:val="12"/>
                <w:szCs w:val="12"/>
                <w:lang w:bidi="ar"/>
              </w:rPr>
              <w:t>儿童康复</w:t>
            </w:r>
          </w:p>
        </w:tc>
        <w:tc>
          <w:tcPr>
            <w:tcW w:w="3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特殊儿童医学基础</w:t>
            </w:r>
          </w:p>
        </w:tc>
        <w:tc>
          <w:tcPr>
            <w:tcW w:w="7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108 </w:t>
            </w:r>
          </w:p>
        </w:tc>
        <w:tc>
          <w:tcPr>
            <w:tcW w:w="41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特殊儿童康复</w:t>
            </w:r>
          </w:p>
        </w:tc>
        <w:tc>
          <w:tcPr>
            <w:tcW w:w="7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2"/>
                <w:szCs w:val="12"/>
              </w:rPr>
            </w:pPr>
            <w:r>
              <w:rPr>
                <w:rFonts w:hint="eastAsia" w:ascii="宋体" w:hAnsi="宋体" w:cs="宋体"/>
                <w:color w:val="000000"/>
                <w:kern w:val="0"/>
                <w:sz w:val="12"/>
                <w:szCs w:val="12"/>
                <w:lang w:bidi="ar"/>
              </w:rPr>
              <w:t>老年康复</w:t>
            </w:r>
          </w:p>
        </w:tc>
        <w:tc>
          <w:tcPr>
            <w:tcW w:w="378"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老年病学</w:t>
            </w:r>
          </w:p>
        </w:tc>
        <w:tc>
          <w:tcPr>
            <w:tcW w:w="729"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108 </w:t>
            </w:r>
          </w:p>
        </w:tc>
        <w:tc>
          <w:tcPr>
            <w:tcW w:w="419" w:type="dxa"/>
            <w:vMerge w:val="restart"/>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老年健康与康复</w:t>
            </w:r>
          </w:p>
        </w:tc>
        <w:tc>
          <w:tcPr>
            <w:tcW w:w="729"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vMerge w:val="continue"/>
            <w:tcBorders>
              <w:top w:val="nil"/>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2"/>
                <w:szCs w:val="12"/>
              </w:rPr>
            </w:pPr>
            <w:r>
              <w:rPr>
                <w:rFonts w:hint="eastAsia" w:ascii="宋体" w:hAnsi="宋体" w:cs="宋体"/>
                <w:color w:val="000000"/>
                <w:kern w:val="0"/>
                <w:sz w:val="12"/>
                <w:szCs w:val="12"/>
                <w:lang w:bidi="ar"/>
              </w:rPr>
              <w:t>社区康复</w:t>
            </w:r>
          </w:p>
        </w:tc>
        <w:tc>
          <w:tcPr>
            <w:tcW w:w="37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社区康复</w:t>
            </w:r>
          </w:p>
        </w:tc>
        <w:tc>
          <w:tcPr>
            <w:tcW w:w="729" w:type="dxa"/>
            <w:vMerge w:val="restart"/>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108 </w:t>
            </w:r>
          </w:p>
        </w:tc>
        <w:tc>
          <w:tcPr>
            <w:tcW w:w="41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2"/>
                <w:szCs w:val="12"/>
              </w:rPr>
            </w:pPr>
          </w:p>
        </w:tc>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社区工作</w:t>
            </w:r>
          </w:p>
        </w:tc>
        <w:tc>
          <w:tcPr>
            <w:tcW w:w="729"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257" w:type="dxa"/>
            <w:vMerge w:val="continue"/>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5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74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专业方向课小计</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108</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6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3255"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专业技能课合计</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3010 </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146</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77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任选课</w:t>
            </w: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人文类拓展</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100</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6</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4</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77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sz w:val="16"/>
                <w:szCs w:val="16"/>
              </w:rPr>
            </w:pPr>
            <w:r>
              <w:rPr>
                <w:rFonts w:hint="eastAsia" w:ascii="宋体" w:hAnsi="宋体" w:cs="宋体"/>
                <w:color w:val="000000"/>
                <w:kern w:val="0"/>
                <w:sz w:val="16"/>
                <w:szCs w:val="16"/>
                <w:lang w:bidi="ar"/>
              </w:rPr>
              <w:t>专业类拓展</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248</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14</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6</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12</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ascii="宋体" w:hAnsi="宋体" w:cs="宋体"/>
                <w:color w:val="000000"/>
                <w:sz w:val="16"/>
                <w:szCs w:val="16"/>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Arial" w:hAnsi="Arial" w:cs="Arial"/>
                <w:color w:val="000000"/>
                <w:sz w:val="18"/>
                <w:szCs w:val="18"/>
              </w:rPr>
            </w:pPr>
            <w:r>
              <w:rPr>
                <w:rFonts w:ascii="Arial" w:hAnsi="Arial" w:cs="Arial"/>
                <w:color w:val="000000"/>
                <w:kern w:val="0"/>
                <w:sz w:val="18"/>
                <w:szCs w:val="18"/>
                <w:lang w:bidi="ar"/>
              </w:rPr>
              <w:t>√</w:t>
            </w:r>
          </w:p>
        </w:tc>
      </w:tr>
      <w:tr>
        <w:tblPrEx>
          <w:tblCellMar>
            <w:top w:w="0" w:type="dxa"/>
            <w:left w:w="0" w:type="dxa"/>
            <w:bottom w:w="0" w:type="dxa"/>
            <w:right w:w="0" w:type="dxa"/>
          </w:tblCellMar>
        </w:tblPrEx>
        <w:trPr>
          <w:trHeight w:val="300" w:hRule="atLeast"/>
          <w:jc w:val="center"/>
        </w:trPr>
        <w:tc>
          <w:tcPr>
            <w:tcW w:w="77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6"/>
                <w:szCs w:val="16"/>
              </w:rPr>
            </w:pPr>
          </w:p>
        </w:tc>
        <w:tc>
          <w:tcPr>
            <w:tcW w:w="24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任选课合计</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348</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28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525" w:hRule="atLeast"/>
          <w:jc w:val="center"/>
        </w:trPr>
        <w:tc>
          <w:tcPr>
            <w:tcW w:w="771"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其他类教育活动</w:t>
            </w:r>
          </w:p>
        </w:tc>
        <w:tc>
          <w:tcPr>
            <w:tcW w:w="248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军训及入学教育</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 xml:space="preserve">2 </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3255"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总课时及学分</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5196</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277</w:t>
            </w: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00" w:hRule="atLeast"/>
          <w:jc w:val="center"/>
        </w:trPr>
        <w:tc>
          <w:tcPr>
            <w:tcW w:w="3255"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6"/>
                <w:szCs w:val="16"/>
              </w:rPr>
            </w:pPr>
            <w:r>
              <w:rPr>
                <w:rFonts w:hint="eastAsia" w:ascii="宋体" w:hAnsi="宋体" w:cs="宋体"/>
                <w:color w:val="000000"/>
                <w:kern w:val="0"/>
                <w:sz w:val="16"/>
                <w:szCs w:val="16"/>
                <w:lang w:bidi="ar"/>
              </w:rPr>
              <w:t>周学时</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45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w:t>
            </w:r>
          </w:p>
        </w:tc>
        <w:tc>
          <w:tcPr>
            <w:tcW w:w="4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w:t>
            </w:r>
          </w:p>
        </w:tc>
        <w:tc>
          <w:tcPr>
            <w:tcW w:w="44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w:t>
            </w:r>
          </w:p>
        </w:tc>
        <w:tc>
          <w:tcPr>
            <w:tcW w:w="41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w:t>
            </w: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w:t>
            </w:r>
          </w:p>
        </w:tc>
        <w:tc>
          <w:tcPr>
            <w:tcW w:w="3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w:t>
            </w: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c>
          <w:tcPr>
            <w:tcW w:w="3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cs="宋体"/>
                <w:color w:val="000000"/>
                <w:sz w:val="18"/>
                <w:szCs w:val="18"/>
              </w:rPr>
            </w:pPr>
          </w:p>
        </w:tc>
      </w:tr>
    </w:tbl>
    <w:p>
      <w:pPr>
        <w:snapToGrid w:val="0"/>
        <w:spacing w:line="360" w:lineRule="exact"/>
        <w:ind w:firstLine="420" w:firstLineChars="200"/>
        <w:jc w:val="left"/>
        <w:rPr>
          <w:rFonts w:ascii="仿宋_GB2312" w:eastAsia="仿宋_GB2312"/>
          <w:bCs/>
          <w:lang w:bidi="ar"/>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